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DE" w:rsidRPr="004432AF" w:rsidRDefault="00963070" w:rsidP="00963070">
      <w:pPr>
        <w:spacing w:line="480" w:lineRule="auto"/>
        <w:jc w:val="center"/>
        <w:rPr>
          <w:b/>
        </w:rPr>
      </w:pPr>
      <w:r w:rsidRPr="004432AF">
        <w:rPr>
          <w:b/>
        </w:rPr>
        <w:t>Alternative to Purifying Bacteriophage DNA for PCR</w:t>
      </w:r>
    </w:p>
    <w:p w:rsidR="00963070" w:rsidRDefault="00963070" w:rsidP="004432AF">
      <w:pPr>
        <w:spacing w:line="276" w:lineRule="auto"/>
      </w:pPr>
      <w:r w:rsidRPr="004432AF">
        <w:rPr>
          <w:b/>
        </w:rPr>
        <w:t>Objective:</w:t>
      </w:r>
      <w:r>
        <w:t xml:space="preserve"> To use plaques or phage lysate instead of pure DNA samples for PCR. </w:t>
      </w:r>
    </w:p>
    <w:p w:rsidR="004432AF" w:rsidRPr="004432AF" w:rsidRDefault="004432AF" w:rsidP="004432AF">
      <w:pPr>
        <w:spacing w:line="276" w:lineRule="auto"/>
        <w:rPr>
          <w:u w:val="thick"/>
        </w:rPr>
      </w:pPr>
      <w:r>
        <w:rPr>
          <w:u w:val="thick"/>
        </w:rPr>
        <w:t>_________________________________________________________________________________________________</w:t>
      </w:r>
    </w:p>
    <w:p w:rsidR="004432AF" w:rsidRDefault="00963070" w:rsidP="004432AF">
      <w:r w:rsidRPr="004432AF">
        <w:rPr>
          <w:b/>
        </w:rPr>
        <w:t>Rationale:</w:t>
      </w:r>
      <w:r>
        <w:t xml:space="preserve"> Traditionally, pure DNA samples are required to conduct PCR. Purifying bacteriophage DNA is tedious and time consuming. As an alternative to using pure DNA, this procedure will utilize plaques or lysate to extract DNA for PCR. </w:t>
      </w:r>
    </w:p>
    <w:p w:rsidR="004432AF" w:rsidRPr="004432AF" w:rsidRDefault="004432AF" w:rsidP="004432AF">
      <w:pPr>
        <w:rPr>
          <w:u w:val="thick"/>
        </w:rPr>
      </w:pPr>
      <w:r>
        <w:rPr>
          <w:u w:val="thick"/>
        </w:rPr>
        <w:t>_________________________________________________________________________________________________</w:t>
      </w:r>
    </w:p>
    <w:p w:rsidR="00963070" w:rsidRPr="004432AF" w:rsidRDefault="00963070" w:rsidP="004432AF">
      <w:pPr>
        <w:rPr>
          <w:b/>
        </w:rPr>
      </w:pPr>
      <w:r w:rsidRPr="004432AF">
        <w:rPr>
          <w:b/>
        </w:rPr>
        <w:t>Supplies:</w:t>
      </w:r>
    </w:p>
    <w:p w:rsidR="00963070" w:rsidRDefault="00963070" w:rsidP="004432AF">
      <w:pPr>
        <w:pStyle w:val="ListParagraph"/>
        <w:numPr>
          <w:ilvl w:val="0"/>
          <w:numId w:val="2"/>
        </w:numPr>
      </w:pPr>
      <w:r>
        <w:t>Phage sample (either from a plaque or collected lysate)</w:t>
      </w:r>
    </w:p>
    <w:p w:rsidR="00963070" w:rsidRDefault="00963070" w:rsidP="004432AF">
      <w:pPr>
        <w:pStyle w:val="ListParagraph"/>
        <w:numPr>
          <w:ilvl w:val="0"/>
          <w:numId w:val="2"/>
        </w:numPr>
      </w:pPr>
      <w:r>
        <w:t>Heat Block</w:t>
      </w:r>
    </w:p>
    <w:p w:rsidR="00963070" w:rsidRDefault="00963070" w:rsidP="004432AF">
      <w:pPr>
        <w:pStyle w:val="ListParagraph"/>
        <w:numPr>
          <w:ilvl w:val="0"/>
          <w:numId w:val="2"/>
        </w:numPr>
      </w:pPr>
      <w:r>
        <w:t>Phage Buffer</w:t>
      </w:r>
    </w:p>
    <w:p w:rsidR="00963070" w:rsidRDefault="00963070" w:rsidP="004432AF">
      <w:pPr>
        <w:pStyle w:val="ListParagraph"/>
        <w:numPr>
          <w:ilvl w:val="0"/>
          <w:numId w:val="2"/>
        </w:numPr>
      </w:pPr>
      <w:r>
        <w:t>Microcentrifuge tubes</w:t>
      </w:r>
    </w:p>
    <w:p w:rsidR="00963070" w:rsidRDefault="00963070" w:rsidP="004432AF">
      <w:pPr>
        <w:pStyle w:val="ListParagraph"/>
        <w:numPr>
          <w:ilvl w:val="0"/>
          <w:numId w:val="2"/>
        </w:numPr>
      </w:pPr>
      <w:r>
        <w:t>Pipette tips</w:t>
      </w:r>
    </w:p>
    <w:p w:rsidR="003F14FC" w:rsidRDefault="003F14FC" w:rsidP="004432AF">
      <w:pPr>
        <w:pStyle w:val="ListParagraph"/>
        <w:numPr>
          <w:ilvl w:val="0"/>
          <w:numId w:val="2"/>
        </w:numPr>
      </w:pPr>
      <w:r>
        <w:t>Microcentrifuge</w:t>
      </w:r>
    </w:p>
    <w:p w:rsidR="004432AF" w:rsidRPr="004432AF" w:rsidRDefault="004432AF" w:rsidP="004432AF">
      <w:pPr>
        <w:rPr>
          <w:u w:val="thick"/>
        </w:rPr>
      </w:pPr>
      <w:r w:rsidRPr="004432AF">
        <w:rPr>
          <w:u w:val="thick"/>
        </w:rPr>
        <w:t>_________________________________________________________________________________________________</w:t>
      </w:r>
    </w:p>
    <w:p w:rsidR="00963070" w:rsidRDefault="00963070" w:rsidP="004432AF">
      <w:pPr>
        <w:spacing w:line="276" w:lineRule="auto"/>
        <w:rPr>
          <w:b/>
        </w:rPr>
      </w:pPr>
      <w:r w:rsidRPr="00963070">
        <w:rPr>
          <w:b/>
        </w:rPr>
        <w:t>Procedure:</w:t>
      </w:r>
    </w:p>
    <w:p w:rsidR="00963070" w:rsidRDefault="00963070" w:rsidP="004432AF">
      <w:pPr>
        <w:pStyle w:val="ListParagraph"/>
        <w:numPr>
          <w:ilvl w:val="0"/>
          <w:numId w:val="3"/>
        </w:numPr>
        <w:spacing w:line="276" w:lineRule="auto"/>
      </w:pPr>
      <w:r>
        <w:t xml:space="preserve">For phage sample collected from plaque (done aseptically) </w:t>
      </w:r>
    </w:p>
    <w:p w:rsidR="00963070" w:rsidRDefault="00963070" w:rsidP="004432AF">
      <w:pPr>
        <w:pStyle w:val="ListParagraph"/>
        <w:numPr>
          <w:ilvl w:val="0"/>
          <w:numId w:val="4"/>
        </w:numPr>
        <w:spacing w:line="276" w:lineRule="auto"/>
      </w:pPr>
      <w:r>
        <w:t xml:space="preserve">Prepare a sterile microcentrifuge tube and fill it with 20uL of phage buffer. </w:t>
      </w:r>
    </w:p>
    <w:p w:rsidR="00963070" w:rsidRDefault="00963070" w:rsidP="004432AF">
      <w:pPr>
        <w:pStyle w:val="ListParagraph"/>
        <w:numPr>
          <w:ilvl w:val="0"/>
          <w:numId w:val="4"/>
        </w:numPr>
        <w:spacing w:line="276" w:lineRule="auto"/>
      </w:pPr>
      <w:r>
        <w:t>Pick a plaque of choice and mark it</w:t>
      </w:r>
      <w:r w:rsidR="003F14FC">
        <w:t>.</w:t>
      </w:r>
    </w:p>
    <w:p w:rsidR="00963070" w:rsidRDefault="00963070" w:rsidP="004432AF">
      <w:pPr>
        <w:pStyle w:val="ListParagraph"/>
        <w:numPr>
          <w:ilvl w:val="0"/>
          <w:numId w:val="4"/>
        </w:numPr>
        <w:spacing w:line="276" w:lineRule="auto"/>
      </w:pPr>
      <w:r>
        <w:t xml:space="preserve">Using a sterile tip on a p200 micropipettor or an inoculation loop, gently rub the surface of the top agar, making sure to get the plaque and avoid touching the bacteria surrounding the plaque. </w:t>
      </w:r>
    </w:p>
    <w:p w:rsidR="00963070" w:rsidRDefault="00963070" w:rsidP="004432AF">
      <w:pPr>
        <w:pStyle w:val="ListParagraph"/>
        <w:numPr>
          <w:ilvl w:val="0"/>
          <w:numId w:val="4"/>
        </w:numPr>
        <w:spacing w:line="276" w:lineRule="auto"/>
      </w:pPr>
      <w:r>
        <w:t xml:space="preserve">Submerge the tip or inoculation loop into the 20uL of phage buffer and swirl inside the tube. </w:t>
      </w:r>
    </w:p>
    <w:p w:rsidR="00963070" w:rsidRDefault="00963070" w:rsidP="004432AF">
      <w:pPr>
        <w:pStyle w:val="ListParagraph"/>
        <w:numPr>
          <w:ilvl w:val="0"/>
          <w:numId w:val="4"/>
        </w:numPr>
        <w:spacing w:line="276" w:lineRule="auto"/>
      </w:pPr>
      <w:r>
        <w:t xml:space="preserve">Vortex to mix well. </w:t>
      </w:r>
    </w:p>
    <w:p w:rsidR="00963070" w:rsidRDefault="00963070" w:rsidP="004432AF">
      <w:pPr>
        <w:pStyle w:val="ListParagraph"/>
        <w:numPr>
          <w:ilvl w:val="0"/>
          <w:numId w:val="3"/>
        </w:numPr>
        <w:spacing w:line="276" w:lineRule="auto"/>
      </w:pPr>
      <w:r>
        <w:t>For phage sample using previously collected lysate</w:t>
      </w:r>
      <w:r w:rsidR="003F14FC">
        <w:t xml:space="preserve"> (done aseptically)</w:t>
      </w:r>
    </w:p>
    <w:p w:rsidR="00963070" w:rsidRDefault="00963070" w:rsidP="004432AF">
      <w:pPr>
        <w:pStyle w:val="ListParagraph"/>
        <w:numPr>
          <w:ilvl w:val="0"/>
          <w:numId w:val="5"/>
        </w:numPr>
        <w:spacing w:line="276" w:lineRule="auto"/>
      </w:pPr>
      <w:r>
        <w:t>Aliquot 16uL of phage buffer into a microcentrifuge tube</w:t>
      </w:r>
      <w:r w:rsidR="003F14FC">
        <w:t>.</w:t>
      </w:r>
    </w:p>
    <w:p w:rsidR="00963070" w:rsidRDefault="003F14FC" w:rsidP="004432AF">
      <w:pPr>
        <w:pStyle w:val="ListParagraph"/>
        <w:numPr>
          <w:ilvl w:val="0"/>
          <w:numId w:val="5"/>
        </w:numPr>
        <w:spacing w:line="276" w:lineRule="auto"/>
      </w:pPr>
      <w:r>
        <w:t xml:space="preserve">Pipette 4uL of lysate into the 16uL of phage buffer. </w:t>
      </w:r>
    </w:p>
    <w:p w:rsidR="003F14FC" w:rsidRDefault="003F14FC" w:rsidP="004432AF">
      <w:pPr>
        <w:pStyle w:val="ListParagraph"/>
        <w:numPr>
          <w:ilvl w:val="0"/>
          <w:numId w:val="5"/>
        </w:numPr>
        <w:spacing w:line="276" w:lineRule="auto"/>
      </w:pPr>
      <w:r>
        <w:t>Vortex to mix well.</w:t>
      </w:r>
    </w:p>
    <w:p w:rsidR="003F14FC" w:rsidRDefault="003F14FC" w:rsidP="004432AF">
      <w:pPr>
        <w:pStyle w:val="ListParagraph"/>
        <w:numPr>
          <w:ilvl w:val="0"/>
          <w:numId w:val="3"/>
        </w:numPr>
        <w:spacing w:line="276" w:lineRule="auto"/>
      </w:pPr>
      <w:r>
        <w:t xml:space="preserve">Boiling </w:t>
      </w:r>
      <w:r>
        <w:tab/>
      </w:r>
    </w:p>
    <w:p w:rsidR="003F14FC" w:rsidRDefault="003F14FC" w:rsidP="004432AF">
      <w:pPr>
        <w:pStyle w:val="ListParagraph"/>
        <w:numPr>
          <w:ilvl w:val="0"/>
          <w:numId w:val="6"/>
        </w:numPr>
        <w:spacing w:line="276" w:lineRule="auto"/>
      </w:pPr>
      <w:r>
        <w:t>Turn on the heat block to 100 °C.</w:t>
      </w:r>
    </w:p>
    <w:p w:rsidR="003F14FC" w:rsidRDefault="003F14FC" w:rsidP="004432AF">
      <w:pPr>
        <w:pStyle w:val="ListParagraph"/>
        <w:numPr>
          <w:ilvl w:val="0"/>
          <w:numId w:val="6"/>
        </w:numPr>
        <w:spacing w:line="276" w:lineRule="auto"/>
      </w:pPr>
      <w:r>
        <w:t>Place the centrifuge tubes with the diluted phage samples into the heat block.</w:t>
      </w:r>
    </w:p>
    <w:p w:rsidR="003F14FC" w:rsidRDefault="003F14FC" w:rsidP="004432AF">
      <w:pPr>
        <w:pStyle w:val="ListParagraph"/>
        <w:numPr>
          <w:ilvl w:val="0"/>
          <w:numId w:val="6"/>
        </w:numPr>
        <w:spacing w:line="276" w:lineRule="auto"/>
      </w:pPr>
      <w:r>
        <w:t>Leave the samples for 10 minutes to boil.</w:t>
      </w:r>
    </w:p>
    <w:p w:rsidR="003F14FC" w:rsidRDefault="003F14FC" w:rsidP="004432AF">
      <w:pPr>
        <w:pStyle w:val="ListParagraph"/>
        <w:numPr>
          <w:ilvl w:val="0"/>
          <w:numId w:val="6"/>
        </w:numPr>
        <w:spacing w:line="276" w:lineRule="auto"/>
      </w:pPr>
      <w:r>
        <w:t>Centrifuge for 30 seconds.</w:t>
      </w:r>
    </w:p>
    <w:p w:rsidR="003F14FC" w:rsidRDefault="003F14FC" w:rsidP="004432AF">
      <w:pPr>
        <w:pStyle w:val="ListParagraph"/>
        <w:numPr>
          <w:ilvl w:val="0"/>
          <w:numId w:val="6"/>
        </w:numPr>
        <w:spacing w:line="276" w:lineRule="auto"/>
      </w:pPr>
      <w:r>
        <w:t xml:space="preserve">The samples </w:t>
      </w:r>
      <w:r w:rsidR="003F3D56">
        <w:t>are</w:t>
      </w:r>
      <w:r w:rsidR="004432AF">
        <w:t xml:space="preserve"> ready for PCR work and </w:t>
      </w:r>
      <w:r>
        <w:t xml:space="preserve">can be stored in </w:t>
      </w:r>
      <w:r w:rsidR="004432AF">
        <w:t>-20</w:t>
      </w:r>
      <w:r>
        <w:t xml:space="preserve"> °C until it’s ready to be used. </w:t>
      </w:r>
    </w:p>
    <w:p w:rsidR="000B53D5" w:rsidRDefault="000B53D5" w:rsidP="000B53D5">
      <w:pPr>
        <w:spacing w:line="276" w:lineRule="auto"/>
      </w:pPr>
    </w:p>
    <w:p w:rsidR="003F3D56" w:rsidRDefault="003F3D56" w:rsidP="003F3D56">
      <w:pPr>
        <w:spacing w:line="276" w:lineRule="auto"/>
      </w:pPr>
    </w:p>
    <w:p w:rsidR="003F3D56" w:rsidRDefault="003F3D56" w:rsidP="003F3D56">
      <w:pPr>
        <w:spacing w:line="276" w:lineRule="auto"/>
      </w:pPr>
    </w:p>
    <w:p w:rsidR="0010666E" w:rsidRDefault="0010666E" w:rsidP="003F3D56">
      <w:pPr>
        <w:spacing w:line="276" w:lineRule="auto"/>
      </w:pPr>
    </w:p>
    <w:p w:rsidR="000B53D5" w:rsidRDefault="000B53D5" w:rsidP="003F3D56">
      <w:pPr>
        <w:spacing w:line="276" w:lineRule="auto"/>
        <w:rPr>
          <w:b/>
        </w:rPr>
      </w:pPr>
      <w:r>
        <w:rPr>
          <w:b/>
        </w:rPr>
        <w:lastRenderedPageBreak/>
        <w:t>PCR Condition:</w:t>
      </w:r>
    </w:p>
    <w:p w:rsidR="000B53D5" w:rsidRDefault="000B53D5" w:rsidP="003F3D56">
      <w:pPr>
        <w:spacing w:line="276" w:lineRule="auto"/>
      </w:pPr>
      <w:r>
        <w:t>94°C, 5 minutes; 1 cycle</w:t>
      </w:r>
    </w:p>
    <w:p w:rsidR="000B53D5" w:rsidRDefault="000B53D5" w:rsidP="003F3D56">
      <w:pPr>
        <w:spacing w:line="276" w:lineRule="auto"/>
      </w:pPr>
      <w:r>
        <w:t>94°C, 30 seconds, 55°C, 30 seconds, 72°C 45 seconds; 35 cycles</w:t>
      </w:r>
    </w:p>
    <w:p w:rsidR="000B53D5" w:rsidRDefault="000B53D5" w:rsidP="003F3D56">
      <w:pPr>
        <w:spacing w:line="276" w:lineRule="auto"/>
      </w:pPr>
      <w:r>
        <w:t>72°C, 5 minutes; 1 cycle</w:t>
      </w:r>
    </w:p>
    <w:p w:rsidR="000B53D5" w:rsidRPr="000B53D5" w:rsidRDefault="000B53D5" w:rsidP="003F3D56">
      <w:pPr>
        <w:spacing w:line="276" w:lineRule="auto"/>
      </w:pPr>
      <w:r>
        <w:t>4° C, indefinite time (holding temperature)</w:t>
      </w:r>
    </w:p>
    <w:p w:rsidR="002F24D8" w:rsidRDefault="003F3D56" w:rsidP="002F24D8">
      <w:pPr>
        <w:spacing w:line="276" w:lineRule="auto"/>
      </w:pPr>
      <w:r w:rsidRPr="003F3D56">
        <w:rPr>
          <w:b/>
        </w:rPr>
        <w:t>PCR Example</w:t>
      </w:r>
      <w:bookmarkStart w:id="0" w:name="_GoBack"/>
      <w:bookmarkEnd w:id="0"/>
      <w:r w:rsidR="0010666E">
        <w:rPr>
          <w:noProof/>
        </w:rPr>
        <mc:AlternateContent>
          <mc:Choice Requires="wps">
            <w:drawing>
              <wp:anchor distT="0" distB="0" distL="114300" distR="114300" simplePos="0" relativeHeight="251655680" behindDoc="0" locked="0" layoutInCell="1" allowOverlap="1">
                <wp:simplePos x="0" y="0"/>
                <wp:positionH relativeFrom="column">
                  <wp:posOffset>1657350</wp:posOffset>
                </wp:positionH>
                <wp:positionV relativeFrom="paragraph">
                  <wp:posOffset>81914</wp:posOffset>
                </wp:positionV>
                <wp:extent cx="2360930" cy="257175"/>
                <wp:effectExtent l="0" t="0" r="2032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solidFill>
                          <a:srgbClr val="FFFFFF"/>
                        </a:solidFill>
                        <a:ln w="9525">
                          <a:solidFill>
                            <a:srgbClr val="000000"/>
                          </a:solidFill>
                          <a:miter lim="800000"/>
                          <a:headEnd/>
                          <a:tailEnd/>
                        </a:ln>
                      </wps:spPr>
                      <wps:txbx>
                        <w:txbxContent>
                          <w:p w:rsidR="002F24D8" w:rsidRPr="0010666E" w:rsidRDefault="002F24D8" w:rsidP="002F24D8">
                            <w:pPr>
                              <w:jc w:val="center"/>
                              <w:rPr>
                                <w:sz w:val="22"/>
                              </w:rPr>
                            </w:pPr>
                            <w:r w:rsidRPr="0010666E">
                              <w:rPr>
                                <w:sz w:val="22"/>
                              </w:rPr>
                              <w:t>Master Mix Example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6.45pt;width:185.9pt;height:20.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wHJAIAAEY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">
                <v:textbox>
                  <w:txbxContent>
                    <w:p w:rsidR="002F24D8" w:rsidRPr="0010666E" w:rsidRDefault="002F24D8" w:rsidP="002F24D8">
                      <w:pPr>
                        <w:jc w:val="center"/>
                        <w:rPr>
                          <w:sz w:val="22"/>
                        </w:rPr>
                      </w:pPr>
                      <w:r w:rsidRPr="0010666E">
                        <w:rPr>
                          <w:sz w:val="22"/>
                        </w:rPr>
                        <w:t>Master Mix Example</w:t>
                      </w:r>
                    </w:p>
                  </w:txbxContent>
                </v:textbox>
              </v:shape>
            </w:pict>
          </mc:Fallback>
        </mc:AlternateContent>
      </w:r>
    </w:p>
    <w:p w:rsidR="002F24D8" w:rsidRDefault="002F24D8" w:rsidP="002F24D8">
      <w:pPr>
        <w:spacing w:line="276" w:lineRule="auto"/>
      </w:pPr>
    </w:p>
    <w:tbl>
      <w:tblPr>
        <w:tblStyle w:val="TableGrid"/>
        <w:tblW w:w="0" w:type="auto"/>
        <w:tblInd w:w="2965" w:type="dxa"/>
        <w:tblLook w:val="04A0" w:firstRow="1" w:lastRow="0" w:firstColumn="1" w:lastColumn="0" w:noHBand="0" w:noVBand="1"/>
      </w:tblPr>
      <w:tblGrid>
        <w:gridCol w:w="2009"/>
        <w:gridCol w:w="1171"/>
      </w:tblGrid>
      <w:tr w:rsidR="002F24D8" w:rsidTr="002F24D8">
        <w:tc>
          <w:tcPr>
            <w:tcW w:w="2009" w:type="dxa"/>
            <w:shd w:val="clear" w:color="auto" w:fill="DDD9C3" w:themeFill="background2" w:themeFillShade="E6"/>
            <w:vAlign w:val="center"/>
          </w:tcPr>
          <w:p w:rsidR="002F24D8" w:rsidRPr="0010666E" w:rsidRDefault="002F24D8" w:rsidP="002F24D8">
            <w:pPr>
              <w:jc w:val="center"/>
              <w:rPr>
                <w:sz w:val="20"/>
              </w:rPr>
            </w:pPr>
            <w:r w:rsidRPr="0010666E">
              <w:rPr>
                <w:sz w:val="20"/>
              </w:rPr>
              <w:t>Reagent</w:t>
            </w:r>
          </w:p>
        </w:tc>
        <w:tc>
          <w:tcPr>
            <w:tcW w:w="1171" w:type="dxa"/>
            <w:shd w:val="clear" w:color="auto" w:fill="DDD9C3" w:themeFill="background2" w:themeFillShade="E6"/>
            <w:vAlign w:val="center"/>
          </w:tcPr>
          <w:p w:rsidR="002F24D8" w:rsidRPr="0010666E" w:rsidRDefault="002F24D8" w:rsidP="002F24D8">
            <w:pPr>
              <w:jc w:val="center"/>
              <w:rPr>
                <w:sz w:val="20"/>
              </w:rPr>
            </w:pPr>
            <w:r w:rsidRPr="0010666E">
              <w:rPr>
                <w:sz w:val="20"/>
              </w:rPr>
              <w:t>Amount</w:t>
            </w:r>
          </w:p>
        </w:tc>
      </w:tr>
      <w:tr w:rsidR="002F24D8" w:rsidTr="002F24D8">
        <w:tc>
          <w:tcPr>
            <w:tcW w:w="2009" w:type="dxa"/>
            <w:vAlign w:val="center"/>
          </w:tcPr>
          <w:p w:rsidR="002F24D8" w:rsidRPr="0010666E" w:rsidRDefault="002F24D8" w:rsidP="002F24D8">
            <w:pPr>
              <w:jc w:val="center"/>
              <w:rPr>
                <w:sz w:val="20"/>
              </w:rPr>
            </w:pPr>
            <w:r w:rsidRPr="0010666E">
              <w:rPr>
                <w:sz w:val="20"/>
              </w:rPr>
              <w:t>DNA Sample</w:t>
            </w:r>
          </w:p>
        </w:tc>
        <w:tc>
          <w:tcPr>
            <w:tcW w:w="1171" w:type="dxa"/>
            <w:vAlign w:val="center"/>
          </w:tcPr>
          <w:p w:rsidR="002F24D8" w:rsidRPr="0010666E" w:rsidRDefault="002F24D8" w:rsidP="002F24D8">
            <w:pPr>
              <w:jc w:val="center"/>
              <w:rPr>
                <w:sz w:val="20"/>
              </w:rPr>
            </w:pPr>
            <w:r w:rsidRPr="0010666E">
              <w:rPr>
                <w:sz w:val="20"/>
              </w:rPr>
              <w:t>5uL</w:t>
            </w:r>
          </w:p>
        </w:tc>
      </w:tr>
      <w:tr w:rsidR="002F24D8" w:rsidTr="002F24D8">
        <w:tc>
          <w:tcPr>
            <w:tcW w:w="2009" w:type="dxa"/>
            <w:vAlign w:val="center"/>
          </w:tcPr>
          <w:p w:rsidR="002F24D8" w:rsidRPr="0010666E" w:rsidRDefault="002F24D8" w:rsidP="002F24D8">
            <w:pPr>
              <w:jc w:val="center"/>
              <w:rPr>
                <w:sz w:val="20"/>
                <w:vertAlign w:val="superscript"/>
              </w:rPr>
            </w:pPr>
            <w:r w:rsidRPr="0010666E">
              <w:rPr>
                <w:sz w:val="20"/>
              </w:rPr>
              <w:t>50mM MgCl2</w:t>
            </w:r>
          </w:p>
        </w:tc>
        <w:tc>
          <w:tcPr>
            <w:tcW w:w="1171" w:type="dxa"/>
            <w:vAlign w:val="center"/>
          </w:tcPr>
          <w:p w:rsidR="002F24D8" w:rsidRPr="0010666E" w:rsidRDefault="002F24D8" w:rsidP="002F24D8">
            <w:pPr>
              <w:jc w:val="center"/>
              <w:rPr>
                <w:sz w:val="20"/>
              </w:rPr>
            </w:pPr>
            <w:r w:rsidRPr="0010666E">
              <w:rPr>
                <w:sz w:val="20"/>
              </w:rPr>
              <w:t>1u</w:t>
            </w:r>
            <w:r w:rsidRPr="0010666E">
              <w:rPr>
                <w:sz w:val="20"/>
              </w:rPr>
              <w:t>L</w:t>
            </w:r>
          </w:p>
        </w:tc>
      </w:tr>
      <w:tr w:rsidR="002F24D8" w:rsidTr="002F24D8">
        <w:tc>
          <w:tcPr>
            <w:tcW w:w="2009" w:type="dxa"/>
            <w:vAlign w:val="center"/>
          </w:tcPr>
          <w:p w:rsidR="002F24D8" w:rsidRPr="0010666E" w:rsidRDefault="002F24D8" w:rsidP="002F24D8">
            <w:pPr>
              <w:jc w:val="center"/>
              <w:rPr>
                <w:sz w:val="20"/>
              </w:rPr>
            </w:pPr>
            <w:r w:rsidRPr="0010666E">
              <w:rPr>
                <w:sz w:val="20"/>
              </w:rPr>
              <w:t>5x PCR Buffer</w:t>
            </w:r>
          </w:p>
        </w:tc>
        <w:tc>
          <w:tcPr>
            <w:tcW w:w="1171" w:type="dxa"/>
            <w:vAlign w:val="center"/>
          </w:tcPr>
          <w:p w:rsidR="002F24D8" w:rsidRPr="0010666E" w:rsidRDefault="002F24D8" w:rsidP="002F24D8">
            <w:pPr>
              <w:jc w:val="center"/>
              <w:rPr>
                <w:sz w:val="20"/>
              </w:rPr>
            </w:pPr>
            <w:r w:rsidRPr="0010666E">
              <w:rPr>
                <w:sz w:val="20"/>
              </w:rPr>
              <w:t>10u</w:t>
            </w:r>
            <w:r w:rsidRPr="0010666E">
              <w:rPr>
                <w:sz w:val="20"/>
              </w:rPr>
              <w:t>L</w:t>
            </w:r>
          </w:p>
        </w:tc>
      </w:tr>
      <w:tr w:rsidR="002F24D8" w:rsidTr="002F24D8">
        <w:tc>
          <w:tcPr>
            <w:tcW w:w="2009" w:type="dxa"/>
            <w:vAlign w:val="center"/>
          </w:tcPr>
          <w:p w:rsidR="002F24D8" w:rsidRPr="0010666E" w:rsidRDefault="002F24D8" w:rsidP="002F24D8">
            <w:pPr>
              <w:jc w:val="center"/>
              <w:rPr>
                <w:sz w:val="20"/>
              </w:rPr>
            </w:pPr>
            <w:r w:rsidRPr="0010666E">
              <w:rPr>
                <w:sz w:val="20"/>
              </w:rPr>
              <w:t>Taq</w:t>
            </w:r>
          </w:p>
        </w:tc>
        <w:tc>
          <w:tcPr>
            <w:tcW w:w="1171" w:type="dxa"/>
            <w:vAlign w:val="center"/>
          </w:tcPr>
          <w:p w:rsidR="002F24D8" w:rsidRPr="0010666E" w:rsidRDefault="002F24D8" w:rsidP="002F24D8">
            <w:pPr>
              <w:jc w:val="center"/>
              <w:rPr>
                <w:sz w:val="20"/>
              </w:rPr>
            </w:pPr>
            <w:r w:rsidRPr="0010666E">
              <w:rPr>
                <w:sz w:val="20"/>
              </w:rPr>
              <w:t>0.3u</w:t>
            </w:r>
            <w:r w:rsidRPr="0010666E">
              <w:rPr>
                <w:sz w:val="20"/>
              </w:rPr>
              <w:t>L</w:t>
            </w:r>
          </w:p>
        </w:tc>
      </w:tr>
      <w:tr w:rsidR="002F24D8" w:rsidTr="002F24D8">
        <w:tc>
          <w:tcPr>
            <w:tcW w:w="2009" w:type="dxa"/>
            <w:vAlign w:val="center"/>
          </w:tcPr>
          <w:p w:rsidR="002F24D8" w:rsidRPr="0010666E" w:rsidRDefault="002F24D8" w:rsidP="002F24D8">
            <w:pPr>
              <w:jc w:val="center"/>
              <w:rPr>
                <w:sz w:val="20"/>
              </w:rPr>
            </w:pPr>
            <w:r w:rsidRPr="0010666E">
              <w:rPr>
                <w:sz w:val="20"/>
              </w:rPr>
              <w:t>ddH20</w:t>
            </w:r>
          </w:p>
        </w:tc>
        <w:tc>
          <w:tcPr>
            <w:tcW w:w="1171" w:type="dxa"/>
            <w:vAlign w:val="center"/>
          </w:tcPr>
          <w:p w:rsidR="002F24D8" w:rsidRPr="0010666E" w:rsidRDefault="002F24D8" w:rsidP="002F24D8">
            <w:pPr>
              <w:jc w:val="center"/>
              <w:rPr>
                <w:sz w:val="20"/>
              </w:rPr>
            </w:pPr>
            <w:r w:rsidRPr="0010666E">
              <w:rPr>
                <w:sz w:val="20"/>
              </w:rPr>
              <w:t>31</w:t>
            </w:r>
            <w:r w:rsidRPr="0010666E">
              <w:rPr>
                <w:sz w:val="20"/>
              </w:rPr>
              <w:t>.7u</w:t>
            </w:r>
            <w:r w:rsidRPr="0010666E">
              <w:rPr>
                <w:sz w:val="20"/>
              </w:rPr>
              <w:t>L</w:t>
            </w:r>
          </w:p>
        </w:tc>
      </w:tr>
      <w:tr w:rsidR="002F24D8" w:rsidTr="002F24D8">
        <w:tc>
          <w:tcPr>
            <w:tcW w:w="2009" w:type="dxa"/>
            <w:vAlign w:val="center"/>
          </w:tcPr>
          <w:p w:rsidR="002F24D8" w:rsidRPr="0010666E" w:rsidRDefault="002F24D8" w:rsidP="002F24D8">
            <w:pPr>
              <w:jc w:val="center"/>
              <w:rPr>
                <w:sz w:val="20"/>
              </w:rPr>
            </w:pPr>
            <w:r w:rsidRPr="0010666E">
              <w:rPr>
                <w:sz w:val="20"/>
              </w:rPr>
              <w:t>Forward Primer</w:t>
            </w:r>
          </w:p>
        </w:tc>
        <w:tc>
          <w:tcPr>
            <w:tcW w:w="1171" w:type="dxa"/>
            <w:vAlign w:val="center"/>
          </w:tcPr>
          <w:p w:rsidR="002F24D8" w:rsidRPr="0010666E" w:rsidRDefault="002F24D8" w:rsidP="002F24D8">
            <w:pPr>
              <w:jc w:val="center"/>
              <w:rPr>
                <w:sz w:val="20"/>
              </w:rPr>
            </w:pPr>
            <w:r w:rsidRPr="0010666E">
              <w:rPr>
                <w:sz w:val="20"/>
              </w:rPr>
              <w:t>1u</w:t>
            </w:r>
            <w:r w:rsidRPr="0010666E">
              <w:rPr>
                <w:sz w:val="20"/>
              </w:rPr>
              <w:t>L</w:t>
            </w:r>
          </w:p>
        </w:tc>
      </w:tr>
      <w:tr w:rsidR="002F24D8" w:rsidTr="002F24D8">
        <w:tc>
          <w:tcPr>
            <w:tcW w:w="2009" w:type="dxa"/>
            <w:vAlign w:val="center"/>
          </w:tcPr>
          <w:p w:rsidR="002F24D8" w:rsidRPr="0010666E" w:rsidRDefault="002F24D8" w:rsidP="002F24D8">
            <w:pPr>
              <w:jc w:val="center"/>
              <w:rPr>
                <w:sz w:val="20"/>
              </w:rPr>
            </w:pPr>
            <w:r w:rsidRPr="0010666E">
              <w:rPr>
                <w:sz w:val="20"/>
              </w:rPr>
              <w:t>Reverse Primer</w:t>
            </w:r>
          </w:p>
        </w:tc>
        <w:tc>
          <w:tcPr>
            <w:tcW w:w="1171" w:type="dxa"/>
            <w:vAlign w:val="center"/>
          </w:tcPr>
          <w:p w:rsidR="002F24D8" w:rsidRPr="0010666E" w:rsidRDefault="002F24D8" w:rsidP="002F24D8">
            <w:pPr>
              <w:jc w:val="center"/>
              <w:rPr>
                <w:sz w:val="20"/>
              </w:rPr>
            </w:pPr>
            <w:r w:rsidRPr="0010666E">
              <w:rPr>
                <w:sz w:val="20"/>
              </w:rPr>
              <w:t>1u</w:t>
            </w:r>
            <w:r w:rsidRPr="0010666E">
              <w:rPr>
                <w:sz w:val="20"/>
              </w:rPr>
              <w:t>L</w:t>
            </w:r>
          </w:p>
        </w:tc>
      </w:tr>
      <w:tr w:rsidR="002F24D8" w:rsidTr="002F24D8">
        <w:tc>
          <w:tcPr>
            <w:tcW w:w="2009" w:type="dxa"/>
            <w:vAlign w:val="center"/>
          </w:tcPr>
          <w:p w:rsidR="002F24D8" w:rsidRPr="0010666E" w:rsidRDefault="002F24D8" w:rsidP="002F24D8">
            <w:pPr>
              <w:jc w:val="center"/>
              <w:rPr>
                <w:sz w:val="20"/>
              </w:rPr>
            </w:pPr>
            <w:r w:rsidRPr="0010666E">
              <w:rPr>
                <w:sz w:val="20"/>
              </w:rPr>
              <w:t>Total</w:t>
            </w:r>
          </w:p>
        </w:tc>
        <w:tc>
          <w:tcPr>
            <w:tcW w:w="1171" w:type="dxa"/>
            <w:vAlign w:val="center"/>
          </w:tcPr>
          <w:p w:rsidR="002F24D8" w:rsidRPr="0010666E" w:rsidRDefault="002F24D8" w:rsidP="002F24D8">
            <w:pPr>
              <w:jc w:val="center"/>
              <w:rPr>
                <w:sz w:val="20"/>
              </w:rPr>
            </w:pPr>
            <w:r w:rsidRPr="0010666E">
              <w:rPr>
                <w:sz w:val="20"/>
              </w:rPr>
              <w:t>50u</w:t>
            </w:r>
            <w:r w:rsidRPr="0010666E">
              <w:rPr>
                <w:sz w:val="20"/>
              </w:rPr>
              <w:t>L</w:t>
            </w:r>
          </w:p>
        </w:tc>
      </w:tr>
    </w:tbl>
    <w:p w:rsidR="002F24D8" w:rsidRDefault="002F24D8" w:rsidP="002F24D8">
      <w:r>
        <w:t>The same primer was used for each DNA sample (plaque or lysate). Specific banding in the gel electrophoresis provides evidence that the procedure works with low-medium titer lysates, and also works by directly picking phage plaques.</w:t>
      </w:r>
    </w:p>
    <w:tbl>
      <w:tblPr>
        <w:tblStyle w:val="TableGrid"/>
        <w:tblpPr w:leftFromText="180" w:rightFromText="180" w:vertAnchor="text" w:horzAnchor="page" w:tblpX="6973" w:tblpY="183"/>
        <w:tblW w:w="4903" w:type="dxa"/>
        <w:tblLook w:val="0420" w:firstRow="1" w:lastRow="0" w:firstColumn="0" w:lastColumn="0" w:noHBand="0" w:noVBand="1"/>
      </w:tblPr>
      <w:tblGrid>
        <w:gridCol w:w="786"/>
        <w:gridCol w:w="1345"/>
        <w:gridCol w:w="1353"/>
        <w:gridCol w:w="1419"/>
      </w:tblGrid>
      <w:tr w:rsidR="000807BC" w:rsidRPr="003F3D56" w:rsidTr="000C7E7E">
        <w:trPr>
          <w:trHeight w:val="304"/>
        </w:trPr>
        <w:tc>
          <w:tcPr>
            <w:tcW w:w="786" w:type="dxa"/>
            <w:hideMark/>
          </w:tcPr>
          <w:p w:rsidR="000807BC" w:rsidRPr="002F24D8" w:rsidRDefault="000807BC" w:rsidP="000C7E7E">
            <w:pPr>
              <w:spacing w:line="276" w:lineRule="auto"/>
              <w:ind w:left="406"/>
              <w:rPr>
                <w:sz w:val="20"/>
              </w:rPr>
            </w:pPr>
          </w:p>
        </w:tc>
        <w:tc>
          <w:tcPr>
            <w:tcW w:w="1345" w:type="dxa"/>
            <w:hideMark/>
          </w:tcPr>
          <w:p w:rsidR="000807BC" w:rsidRPr="002F24D8" w:rsidRDefault="000807BC" w:rsidP="000C7E7E">
            <w:pPr>
              <w:spacing w:line="276" w:lineRule="auto"/>
              <w:ind w:left="406"/>
              <w:rPr>
                <w:sz w:val="20"/>
              </w:rPr>
            </w:pPr>
            <w:r w:rsidRPr="002F24D8">
              <w:rPr>
                <w:b/>
                <w:bCs/>
                <w:sz w:val="20"/>
              </w:rPr>
              <w:t>Content</w:t>
            </w:r>
          </w:p>
        </w:tc>
        <w:tc>
          <w:tcPr>
            <w:tcW w:w="1353" w:type="dxa"/>
            <w:hideMark/>
          </w:tcPr>
          <w:p w:rsidR="000807BC" w:rsidRPr="002F24D8" w:rsidRDefault="000807BC" w:rsidP="000C7E7E">
            <w:pPr>
              <w:spacing w:line="276" w:lineRule="auto"/>
              <w:ind w:left="406"/>
              <w:rPr>
                <w:sz w:val="20"/>
              </w:rPr>
            </w:pPr>
            <w:r w:rsidRPr="002F24D8">
              <w:rPr>
                <w:b/>
                <w:bCs/>
                <w:sz w:val="20"/>
              </w:rPr>
              <w:t>Times Boiled</w:t>
            </w:r>
          </w:p>
        </w:tc>
        <w:tc>
          <w:tcPr>
            <w:tcW w:w="1419" w:type="dxa"/>
            <w:hideMark/>
          </w:tcPr>
          <w:p w:rsidR="000807BC" w:rsidRPr="002F24D8" w:rsidRDefault="000807BC" w:rsidP="000C7E7E">
            <w:pPr>
              <w:spacing w:line="276" w:lineRule="auto"/>
              <w:ind w:left="406"/>
              <w:jc w:val="center"/>
              <w:rPr>
                <w:sz w:val="20"/>
              </w:rPr>
            </w:pPr>
            <w:r w:rsidRPr="002F24D8">
              <w:rPr>
                <w:b/>
                <w:bCs/>
                <w:sz w:val="20"/>
              </w:rPr>
              <w:t>Amount used for PCR</w:t>
            </w:r>
          </w:p>
        </w:tc>
      </w:tr>
      <w:tr w:rsidR="000807BC" w:rsidRPr="003F3D56" w:rsidTr="000C7E7E">
        <w:trPr>
          <w:trHeight w:val="42"/>
        </w:trPr>
        <w:tc>
          <w:tcPr>
            <w:tcW w:w="786" w:type="dxa"/>
            <w:hideMark/>
          </w:tcPr>
          <w:p w:rsidR="000807BC" w:rsidRPr="002F24D8" w:rsidRDefault="000807BC" w:rsidP="000C7E7E">
            <w:pPr>
              <w:spacing w:line="276" w:lineRule="auto"/>
              <w:ind w:left="406"/>
              <w:rPr>
                <w:sz w:val="20"/>
              </w:rPr>
            </w:pPr>
            <w:r w:rsidRPr="002F24D8">
              <w:rPr>
                <w:sz w:val="20"/>
              </w:rPr>
              <w:t>M</w:t>
            </w:r>
          </w:p>
        </w:tc>
        <w:tc>
          <w:tcPr>
            <w:tcW w:w="1345" w:type="dxa"/>
            <w:hideMark/>
          </w:tcPr>
          <w:p w:rsidR="000807BC" w:rsidRPr="002F24D8" w:rsidRDefault="000807BC" w:rsidP="000C7E7E">
            <w:pPr>
              <w:spacing w:line="276" w:lineRule="auto"/>
              <w:ind w:left="406"/>
              <w:rPr>
                <w:sz w:val="20"/>
              </w:rPr>
            </w:pPr>
            <w:r w:rsidRPr="002F24D8">
              <w:rPr>
                <w:sz w:val="20"/>
              </w:rPr>
              <w:t>Ladder 1kb</w:t>
            </w:r>
          </w:p>
        </w:tc>
        <w:tc>
          <w:tcPr>
            <w:tcW w:w="1353" w:type="dxa"/>
            <w:hideMark/>
          </w:tcPr>
          <w:p w:rsidR="000807BC" w:rsidRPr="002F24D8" w:rsidRDefault="000807BC" w:rsidP="000C7E7E">
            <w:pPr>
              <w:spacing w:line="276" w:lineRule="auto"/>
              <w:ind w:left="406"/>
              <w:jc w:val="center"/>
              <w:rPr>
                <w:sz w:val="20"/>
              </w:rPr>
            </w:pPr>
            <w:r w:rsidRPr="002F24D8">
              <w:rPr>
                <w:sz w:val="20"/>
              </w:rPr>
              <w:t>-----------</w:t>
            </w:r>
          </w:p>
        </w:tc>
        <w:tc>
          <w:tcPr>
            <w:tcW w:w="1419" w:type="dxa"/>
            <w:hideMark/>
          </w:tcPr>
          <w:p w:rsidR="000807BC" w:rsidRPr="002F24D8" w:rsidRDefault="000807BC" w:rsidP="000C7E7E">
            <w:pPr>
              <w:spacing w:line="276" w:lineRule="auto"/>
              <w:ind w:left="406"/>
              <w:jc w:val="center"/>
              <w:rPr>
                <w:sz w:val="20"/>
              </w:rPr>
            </w:pPr>
            <w:r>
              <w:rPr>
                <w:sz w:val="20"/>
              </w:rPr>
              <w:t>-------------</w:t>
            </w:r>
          </w:p>
        </w:tc>
      </w:tr>
      <w:tr w:rsidR="000807BC" w:rsidRPr="003F3D56" w:rsidTr="000C7E7E">
        <w:trPr>
          <w:trHeight w:val="304"/>
        </w:trPr>
        <w:tc>
          <w:tcPr>
            <w:tcW w:w="786" w:type="dxa"/>
            <w:hideMark/>
          </w:tcPr>
          <w:p w:rsidR="000807BC" w:rsidRPr="002F24D8" w:rsidRDefault="000807BC" w:rsidP="000C7E7E">
            <w:pPr>
              <w:spacing w:line="276" w:lineRule="auto"/>
              <w:ind w:left="406"/>
              <w:rPr>
                <w:sz w:val="20"/>
              </w:rPr>
            </w:pPr>
            <w:r w:rsidRPr="002F24D8">
              <w:rPr>
                <w:sz w:val="20"/>
              </w:rPr>
              <w:t>1</w:t>
            </w:r>
          </w:p>
        </w:tc>
        <w:tc>
          <w:tcPr>
            <w:tcW w:w="1345" w:type="dxa"/>
            <w:hideMark/>
          </w:tcPr>
          <w:p w:rsidR="000807BC" w:rsidRPr="002F24D8" w:rsidRDefault="000807BC" w:rsidP="000C7E7E">
            <w:pPr>
              <w:spacing w:line="276" w:lineRule="auto"/>
              <w:ind w:left="406"/>
              <w:rPr>
                <w:sz w:val="20"/>
              </w:rPr>
            </w:pPr>
            <w:r w:rsidRPr="002F24D8">
              <w:rPr>
                <w:sz w:val="20"/>
              </w:rPr>
              <w:t xml:space="preserve">SL lysate </w:t>
            </w:r>
          </w:p>
        </w:tc>
        <w:tc>
          <w:tcPr>
            <w:tcW w:w="1353" w:type="dxa"/>
            <w:hideMark/>
          </w:tcPr>
          <w:p w:rsidR="000807BC" w:rsidRPr="002F24D8" w:rsidRDefault="000807BC" w:rsidP="000C7E7E">
            <w:pPr>
              <w:spacing w:line="276" w:lineRule="auto"/>
              <w:ind w:left="406"/>
              <w:jc w:val="center"/>
              <w:rPr>
                <w:sz w:val="20"/>
              </w:rPr>
            </w:pPr>
            <w:r w:rsidRPr="002F24D8">
              <w:rPr>
                <w:sz w:val="20"/>
              </w:rPr>
              <w:t>1</w:t>
            </w:r>
          </w:p>
        </w:tc>
        <w:tc>
          <w:tcPr>
            <w:tcW w:w="1419" w:type="dxa"/>
            <w:hideMark/>
          </w:tcPr>
          <w:p w:rsidR="000807BC" w:rsidRPr="002F24D8" w:rsidRDefault="000807BC" w:rsidP="000C7E7E">
            <w:pPr>
              <w:spacing w:line="276" w:lineRule="auto"/>
              <w:ind w:left="406"/>
              <w:jc w:val="center"/>
              <w:rPr>
                <w:sz w:val="20"/>
              </w:rPr>
            </w:pPr>
            <w:r w:rsidRPr="002F24D8">
              <w:rPr>
                <w:sz w:val="20"/>
              </w:rPr>
              <w:t>5uL</w:t>
            </w:r>
          </w:p>
        </w:tc>
      </w:tr>
      <w:tr w:rsidR="000807BC" w:rsidRPr="003F3D56" w:rsidTr="000C7E7E">
        <w:trPr>
          <w:trHeight w:val="304"/>
        </w:trPr>
        <w:tc>
          <w:tcPr>
            <w:tcW w:w="786" w:type="dxa"/>
            <w:hideMark/>
          </w:tcPr>
          <w:p w:rsidR="000807BC" w:rsidRPr="002F24D8" w:rsidRDefault="000807BC" w:rsidP="000C7E7E">
            <w:pPr>
              <w:spacing w:line="276" w:lineRule="auto"/>
              <w:ind w:left="406"/>
              <w:rPr>
                <w:sz w:val="20"/>
              </w:rPr>
            </w:pPr>
            <w:r w:rsidRPr="002F24D8">
              <w:rPr>
                <w:sz w:val="20"/>
              </w:rPr>
              <w:t>2</w:t>
            </w:r>
          </w:p>
        </w:tc>
        <w:tc>
          <w:tcPr>
            <w:tcW w:w="1345" w:type="dxa"/>
            <w:hideMark/>
          </w:tcPr>
          <w:p w:rsidR="000807BC" w:rsidRPr="002F24D8" w:rsidRDefault="000807BC" w:rsidP="000C7E7E">
            <w:pPr>
              <w:spacing w:line="276" w:lineRule="auto"/>
              <w:ind w:left="406"/>
              <w:rPr>
                <w:sz w:val="20"/>
              </w:rPr>
            </w:pPr>
            <w:r w:rsidRPr="002F24D8">
              <w:rPr>
                <w:sz w:val="20"/>
              </w:rPr>
              <w:t>SL lysate</w:t>
            </w:r>
          </w:p>
        </w:tc>
        <w:tc>
          <w:tcPr>
            <w:tcW w:w="1353" w:type="dxa"/>
            <w:hideMark/>
          </w:tcPr>
          <w:p w:rsidR="000807BC" w:rsidRPr="002F24D8" w:rsidRDefault="000807BC" w:rsidP="000C7E7E">
            <w:pPr>
              <w:spacing w:line="276" w:lineRule="auto"/>
              <w:ind w:left="406"/>
              <w:jc w:val="center"/>
              <w:rPr>
                <w:sz w:val="20"/>
              </w:rPr>
            </w:pPr>
            <w:r w:rsidRPr="002F24D8">
              <w:rPr>
                <w:sz w:val="20"/>
              </w:rPr>
              <w:t>1</w:t>
            </w:r>
          </w:p>
        </w:tc>
        <w:tc>
          <w:tcPr>
            <w:tcW w:w="1419" w:type="dxa"/>
            <w:hideMark/>
          </w:tcPr>
          <w:p w:rsidR="000807BC" w:rsidRPr="002F24D8" w:rsidRDefault="000807BC" w:rsidP="000C7E7E">
            <w:pPr>
              <w:spacing w:line="276" w:lineRule="auto"/>
              <w:ind w:left="406"/>
              <w:jc w:val="center"/>
              <w:rPr>
                <w:sz w:val="20"/>
              </w:rPr>
            </w:pPr>
            <w:r w:rsidRPr="002F24D8">
              <w:rPr>
                <w:sz w:val="20"/>
              </w:rPr>
              <w:t>10uL</w:t>
            </w:r>
          </w:p>
        </w:tc>
      </w:tr>
      <w:tr w:rsidR="000807BC" w:rsidRPr="003F3D56" w:rsidTr="000C7E7E">
        <w:trPr>
          <w:trHeight w:val="304"/>
        </w:trPr>
        <w:tc>
          <w:tcPr>
            <w:tcW w:w="786" w:type="dxa"/>
            <w:hideMark/>
          </w:tcPr>
          <w:p w:rsidR="000807BC" w:rsidRPr="002F24D8" w:rsidRDefault="000807BC" w:rsidP="000C7E7E">
            <w:pPr>
              <w:spacing w:line="276" w:lineRule="auto"/>
              <w:ind w:left="406"/>
              <w:rPr>
                <w:sz w:val="20"/>
              </w:rPr>
            </w:pPr>
            <w:r w:rsidRPr="002F24D8">
              <w:rPr>
                <w:sz w:val="20"/>
              </w:rPr>
              <w:t>3</w:t>
            </w:r>
          </w:p>
        </w:tc>
        <w:tc>
          <w:tcPr>
            <w:tcW w:w="1345" w:type="dxa"/>
            <w:hideMark/>
          </w:tcPr>
          <w:p w:rsidR="000807BC" w:rsidRPr="002F24D8" w:rsidRDefault="000807BC" w:rsidP="000C7E7E">
            <w:pPr>
              <w:spacing w:line="276" w:lineRule="auto"/>
              <w:ind w:left="406"/>
              <w:rPr>
                <w:sz w:val="20"/>
              </w:rPr>
            </w:pPr>
            <w:r w:rsidRPr="002F24D8">
              <w:rPr>
                <w:sz w:val="20"/>
              </w:rPr>
              <w:t>SL plaque</w:t>
            </w:r>
          </w:p>
        </w:tc>
        <w:tc>
          <w:tcPr>
            <w:tcW w:w="1353" w:type="dxa"/>
            <w:hideMark/>
          </w:tcPr>
          <w:p w:rsidR="000807BC" w:rsidRPr="002F24D8" w:rsidRDefault="000807BC" w:rsidP="000C7E7E">
            <w:pPr>
              <w:spacing w:line="276" w:lineRule="auto"/>
              <w:ind w:left="406"/>
              <w:jc w:val="center"/>
              <w:rPr>
                <w:sz w:val="20"/>
              </w:rPr>
            </w:pPr>
            <w:r w:rsidRPr="002F24D8">
              <w:rPr>
                <w:sz w:val="20"/>
              </w:rPr>
              <w:t>1</w:t>
            </w:r>
          </w:p>
        </w:tc>
        <w:tc>
          <w:tcPr>
            <w:tcW w:w="1419" w:type="dxa"/>
            <w:hideMark/>
          </w:tcPr>
          <w:p w:rsidR="000807BC" w:rsidRPr="002F24D8" w:rsidRDefault="000807BC" w:rsidP="000C7E7E">
            <w:pPr>
              <w:spacing w:line="276" w:lineRule="auto"/>
              <w:ind w:left="406"/>
              <w:jc w:val="center"/>
              <w:rPr>
                <w:sz w:val="20"/>
              </w:rPr>
            </w:pPr>
            <w:r w:rsidRPr="002F24D8">
              <w:rPr>
                <w:sz w:val="20"/>
              </w:rPr>
              <w:t>5uL</w:t>
            </w:r>
          </w:p>
        </w:tc>
      </w:tr>
      <w:tr w:rsidR="000807BC" w:rsidRPr="003F3D56" w:rsidTr="000C7E7E">
        <w:trPr>
          <w:trHeight w:val="304"/>
        </w:trPr>
        <w:tc>
          <w:tcPr>
            <w:tcW w:w="786" w:type="dxa"/>
            <w:hideMark/>
          </w:tcPr>
          <w:p w:rsidR="000807BC" w:rsidRPr="002F24D8" w:rsidRDefault="000807BC" w:rsidP="000C7E7E">
            <w:pPr>
              <w:spacing w:line="276" w:lineRule="auto"/>
              <w:ind w:left="406"/>
              <w:rPr>
                <w:sz w:val="20"/>
              </w:rPr>
            </w:pPr>
            <w:r w:rsidRPr="002F24D8">
              <w:rPr>
                <w:sz w:val="20"/>
              </w:rPr>
              <w:t>4</w:t>
            </w:r>
          </w:p>
        </w:tc>
        <w:tc>
          <w:tcPr>
            <w:tcW w:w="1345" w:type="dxa"/>
            <w:hideMark/>
          </w:tcPr>
          <w:p w:rsidR="000807BC" w:rsidRPr="002F24D8" w:rsidRDefault="000807BC" w:rsidP="000C7E7E">
            <w:pPr>
              <w:spacing w:line="276" w:lineRule="auto"/>
              <w:ind w:left="406"/>
              <w:rPr>
                <w:sz w:val="20"/>
              </w:rPr>
            </w:pPr>
            <w:r w:rsidRPr="002F24D8">
              <w:rPr>
                <w:sz w:val="20"/>
              </w:rPr>
              <w:t>SL plaque</w:t>
            </w:r>
          </w:p>
        </w:tc>
        <w:tc>
          <w:tcPr>
            <w:tcW w:w="1353" w:type="dxa"/>
            <w:hideMark/>
          </w:tcPr>
          <w:p w:rsidR="000807BC" w:rsidRPr="002F24D8" w:rsidRDefault="000807BC" w:rsidP="000C7E7E">
            <w:pPr>
              <w:spacing w:line="276" w:lineRule="auto"/>
              <w:ind w:left="406"/>
              <w:jc w:val="center"/>
              <w:rPr>
                <w:sz w:val="20"/>
              </w:rPr>
            </w:pPr>
            <w:r w:rsidRPr="002F24D8">
              <w:rPr>
                <w:sz w:val="20"/>
              </w:rPr>
              <w:t>2</w:t>
            </w:r>
          </w:p>
        </w:tc>
        <w:tc>
          <w:tcPr>
            <w:tcW w:w="1419" w:type="dxa"/>
            <w:hideMark/>
          </w:tcPr>
          <w:p w:rsidR="000807BC" w:rsidRPr="002F24D8" w:rsidRDefault="000807BC" w:rsidP="000C7E7E">
            <w:pPr>
              <w:spacing w:line="276" w:lineRule="auto"/>
              <w:ind w:left="406"/>
              <w:jc w:val="center"/>
              <w:rPr>
                <w:sz w:val="20"/>
              </w:rPr>
            </w:pPr>
            <w:r w:rsidRPr="002F24D8">
              <w:rPr>
                <w:sz w:val="20"/>
              </w:rPr>
              <w:t>5uL</w:t>
            </w:r>
          </w:p>
        </w:tc>
      </w:tr>
      <w:tr w:rsidR="000807BC" w:rsidRPr="003F3D56" w:rsidTr="000C7E7E">
        <w:trPr>
          <w:trHeight w:val="304"/>
        </w:trPr>
        <w:tc>
          <w:tcPr>
            <w:tcW w:w="786" w:type="dxa"/>
            <w:hideMark/>
          </w:tcPr>
          <w:p w:rsidR="000807BC" w:rsidRPr="002F24D8" w:rsidRDefault="000807BC" w:rsidP="000C7E7E">
            <w:pPr>
              <w:spacing w:line="276" w:lineRule="auto"/>
              <w:ind w:left="406"/>
              <w:rPr>
                <w:sz w:val="20"/>
              </w:rPr>
            </w:pPr>
            <w:r w:rsidRPr="002F24D8">
              <w:rPr>
                <w:sz w:val="20"/>
              </w:rPr>
              <w:t>5</w:t>
            </w:r>
          </w:p>
        </w:tc>
        <w:tc>
          <w:tcPr>
            <w:tcW w:w="1345" w:type="dxa"/>
            <w:hideMark/>
          </w:tcPr>
          <w:p w:rsidR="000807BC" w:rsidRPr="002F24D8" w:rsidRDefault="000807BC" w:rsidP="000C7E7E">
            <w:pPr>
              <w:spacing w:line="276" w:lineRule="auto"/>
              <w:ind w:left="406"/>
              <w:rPr>
                <w:sz w:val="20"/>
              </w:rPr>
            </w:pPr>
            <w:r w:rsidRPr="002F24D8">
              <w:rPr>
                <w:sz w:val="20"/>
              </w:rPr>
              <w:t xml:space="preserve">SL plaque </w:t>
            </w:r>
          </w:p>
        </w:tc>
        <w:tc>
          <w:tcPr>
            <w:tcW w:w="1353" w:type="dxa"/>
            <w:hideMark/>
          </w:tcPr>
          <w:p w:rsidR="000807BC" w:rsidRPr="002F24D8" w:rsidRDefault="000807BC" w:rsidP="000C7E7E">
            <w:pPr>
              <w:spacing w:line="276" w:lineRule="auto"/>
              <w:ind w:left="406"/>
              <w:jc w:val="center"/>
              <w:rPr>
                <w:sz w:val="20"/>
              </w:rPr>
            </w:pPr>
            <w:r w:rsidRPr="002F24D8">
              <w:rPr>
                <w:sz w:val="20"/>
              </w:rPr>
              <w:t>1</w:t>
            </w:r>
          </w:p>
        </w:tc>
        <w:tc>
          <w:tcPr>
            <w:tcW w:w="1419" w:type="dxa"/>
            <w:hideMark/>
          </w:tcPr>
          <w:p w:rsidR="000807BC" w:rsidRPr="002F24D8" w:rsidRDefault="000807BC" w:rsidP="000C7E7E">
            <w:pPr>
              <w:spacing w:line="276" w:lineRule="auto"/>
              <w:ind w:left="406"/>
              <w:jc w:val="center"/>
              <w:rPr>
                <w:sz w:val="20"/>
              </w:rPr>
            </w:pPr>
            <w:r w:rsidRPr="002F24D8">
              <w:rPr>
                <w:sz w:val="20"/>
              </w:rPr>
              <w:t>5uL</w:t>
            </w:r>
          </w:p>
        </w:tc>
      </w:tr>
      <w:tr w:rsidR="000807BC" w:rsidRPr="003F3D56" w:rsidTr="000C7E7E">
        <w:trPr>
          <w:trHeight w:val="304"/>
        </w:trPr>
        <w:tc>
          <w:tcPr>
            <w:tcW w:w="786" w:type="dxa"/>
            <w:hideMark/>
          </w:tcPr>
          <w:p w:rsidR="000807BC" w:rsidRPr="002F24D8" w:rsidRDefault="000807BC" w:rsidP="000C7E7E">
            <w:pPr>
              <w:spacing w:line="276" w:lineRule="auto"/>
              <w:ind w:left="406"/>
              <w:rPr>
                <w:sz w:val="20"/>
              </w:rPr>
            </w:pPr>
            <w:r w:rsidRPr="002F24D8">
              <w:rPr>
                <w:sz w:val="20"/>
              </w:rPr>
              <w:t>6</w:t>
            </w:r>
          </w:p>
        </w:tc>
        <w:tc>
          <w:tcPr>
            <w:tcW w:w="1345" w:type="dxa"/>
            <w:hideMark/>
          </w:tcPr>
          <w:p w:rsidR="000807BC" w:rsidRPr="002F24D8" w:rsidRDefault="000807BC" w:rsidP="000C7E7E">
            <w:pPr>
              <w:spacing w:line="276" w:lineRule="auto"/>
              <w:ind w:left="406"/>
              <w:rPr>
                <w:sz w:val="20"/>
              </w:rPr>
            </w:pPr>
            <w:r w:rsidRPr="002F24D8">
              <w:rPr>
                <w:sz w:val="20"/>
              </w:rPr>
              <w:t>SL plaque</w:t>
            </w:r>
          </w:p>
        </w:tc>
        <w:tc>
          <w:tcPr>
            <w:tcW w:w="1353" w:type="dxa"/>
            <w:hideMark/>
          </w:tcPr>
          <w:p w:rsidR="000807BC" w:rsidRPr="002F24D8" w:rsidRDefault="000807BC" w:rsidP="000C7E7E">
            <w:pPr>
              <w:spacing w:line="276" w:lineRule="auto"/>
              <w:ind w:left="406"/>
              <w:jc w:val="center"/>
              <w:rPr>
                <w:sz w:val="20"/>
              </w:rPr>
            </w:pPr>
            <w:r w:rsidRPr="002F24D8">
              <w:rPr>
                <w:sz w:val="20"/>
              </w:rPr>
              <w:t>1</w:t>
            </w:r>
          </w:p>
        </w:tc>
        <w:tc>
          <w:tcPr>
            <w:tcW w:w="1419" w:type="dxa"/>
            <w:hideMark/>
          </w:tcPr>
          <w:p w:rsidR="000807BC" w:rsidRPr="002F24D8" w:rsidRDefault="000807BC" w:rsidP="000C7E7E">
            <w:pPr>
              <w:spacing w:line="276" w:lineRule="auto"/>
              <w:ind w:left="406"/>
              <w:jc w:val="center"/>
              <w:rPr>
                <w:sz w:val="20"/>
              </w:rPr>
            </w:pPr>
            <w:r w:rsidRPr="002F24D8">
              <w:rPr>
                <w:sz w:val="20"/>
              </w:rPr>
              <w:t>2uL</w:t>
            </w:r>
          </w:p>
        </w:tc>
      </w:tr>
      <w:tr w:rsidR="000807BC" w:rsidRPr="003F3D56" w:rsidTr="000C7E7E">
        <w:trPr>
          <w:trHeight w:val="304"/>
        </w:trPr>
        <w:tc>
          <w:tcPr>
            <w:tcW w:w="786" w:type="dxa"/>
            <w:hideMark/>
          </w:tcPr>
          <w:p w:rsidR="000807BC" w:rsidRPr="002F24D8" w:rsidRDefault="000807BC" w:rsidP="000C7E7E">
            <w:pPr>
              <w:spacing w:line="276" w:lineRule="auto"/>
              <w:ind w:left="406"/>
              <w:rPr>
                <w:sz w:val="20"/>
              </w:rPr>
            </w:pPr>
            <w:r w:rsidRPr="002F24D8">
              <w:rPr>
                <w:sz w:val="20"/>
              </w:rPr>
              <w:t>7</w:t>
            </w:r>
          </w:p>
        </w:tc>
        <w:tc>
          <w:tcPr>
            <w:tcW w:w="1345" w:type="dxa"/>
            <w:hideMark/>
          </w:tcPr>
          <w:p w:rsidR="000807BC" w:rsidRPr="002F24D8" w:rsidRDefault="000807BC" w:rsidP="000C7E7E">
            <w:pPr>
              <w:spacing w:line="276" w:lineRule="auto"/>
              <w:ind w:left="406"/>
              <w:rPr>
                <w:sz w:val="20"/>
              </w:rPr>
            </w:pPr>
            <w:r w:rsidRPr="002F24D8">
              <w:rPr>
                <w:sz w:val="20"/>
              </w:rPr>
              <w:t>SL plaque</w:t>
            </w:r>
          </w:p>
        </w:tc>
        <w:tc>
          <w:tcPr>
            <w:tcW w:w="1353" w:type="dxa"/>
            <w:hideMark/>
          </w:tcPr>
          <w:p w:rsidR="000807BC" w:rsidRPr="002F24D8" w:rsidRDefault="000807BC" w:rsidP="000C7E7E">
            <w:pPr>
              <w:spacing w:line="276" w:lineRule="auto"/>
              <w:ind w:left="406"/>
              <w:jc w:val="center"/>
              <w:rPr>
                <w:sz w:val="20"/>
              </w:rPr>
            </w:pPr>
            <w:r w:rsidRPr="002F24D8">
              <w:rPr>
                <w:sz w:val="20"/>
              </w:rPr>
              <w:t>1</w:t>
            </w:r>
          </w:p>
        </w:tc>
        <w:tc>
          <w:tcPr>
            <w:tcW w:w="1419" w:type="dxa"/>
            <w:hideMark/>
          </w:tcPr>
          <w:p w:rsidR="000807BC" w:rsidRPr="002F24D8" w:rsidRDefault="000807BC" w:rsidP="000C7E7E">
            <w:pPr>
              <w:spacing w:line="276" w:lineRule="auto"/>
              <w:ind w:left="406"/>
              <w:jc w:val="center"/>
              <w:rPr>
                <w:sz w:val="20"/>
              </w:rPr>
            </w:pPr>
            <w:r w:rsidRPr="002F24D8">
              <w:rPr>
                <w:sz w:val="20"/>
              </w:rPr>
              <w:t>5uL</w:t>
            </w:r>
          </w:p>
        </w:tc>
      </w:tr>
    </w:tbl>
    <w:p w:rsidR="002F24D8" w:rsidRDefault="002F24D8" w:rsidP="002F24D8">
      <w:r>
        <w:rPr>
          <w:noProof/>
        </w:rPr>
        <w:drawing>
          <wp:inline distT="0" distB="0" distL="0" distR="0" wp14:anchorId="70AE6DFE" wp14:editId="6EBE8B0D">
            <wp:extent cx="2933700"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405" t="32176" r="50867" b="49305"/>
                    <a:stretch/>
                  </pic:blipFill>
                  <pic:spPr bwMode="auto">
                    <a:xfrm>
                      <a:off x="0" y="0"/>
                      <a:ext cx="2946218" cy="2601855"/>
                    </a:xfrm>
                    <a:prstGeom prst="rect">
                      <a:avLst/>
                    </a:prstGeom>
                    <a:ln>
                      <a:noFill/>
                    </a:ln>
                    <a:extLst>
                      <a:ext uri="{53640926-AAD7-44D8-BBD7-CCE9431645EC}">
                        <a14:shadowObscured xmlns:a14="http://schemas.microsoft.com/office/drawing/2010/main"/>
                      </a:ext>
                    </a:extLst>
                  </pic:spPr>
                </pic:pic>
              </a:graphicData>
            </a:graphic>
          </wp:inline>
        </w:drawing>
      </w:r>
    </w:p>
    <w:p w:rsidR="002F24D8" w:rsidRDefault="002F24D8" w:rsidP="002F24D8"/>
    <w:p w:rsidR="002F24D8" w:rsidRDefault="000B53D5" w:rsidP="002F24D8">
      <w:r>
        <w:t xml:space="preserve">Note: </w:t>
      </w:r>
      <w:r w:rsidR="00FF6BBE">
        <w:t xml:space="preserve">All the plaque and lysate samples were taken out from the original 20uL dilutions from either step A or step B. </w:t>
      </w:r>
    </w:p>
    <w:p w:rsidR="00421F84" w:rsidRDefault="00421F84" w:rsidP="004432AF">
      <w:pPr>
        <w:spacing w:line="276" w:lineRule="auto"/>
      </w:pPr>
    </w:p>
    <w:p w:rsidR="003F14FC" w:rsidRDefault="003F3D56" w:rsidP="004432AF">
      <w:pPr>
        <w:spacing w:line="276" w:lineRule="auto"/>
      </w:pPr>
      <w:r w:rsidRPr="003F3D56">
        <w:drawing>
          <wp:anchor distT="0" distB="0" distL="114300" distR="114300" simplePos="0" relativeHeight="251652608" behindDoc="0" locked="0" layoutInCell="1" allowOverlap="1" wp14:anchorId="44EF69E4" wp14:editId="2FBE3BBA">
            <wp:simplePos x="0" y="0"/>
            <wp:positionH relativeFrom="column">
              <wp:posOffset>7590155</wp:posOffset>
            </wp:positionH>
            <wp:positionV relativeFrom="paragraph">
              <wp:posOffset>215265</wp:posOffset>
            </wp:positionV>
            <wp:extent cx="5471034" cy="3291840"/>
            <wp:effectExtent l="0" t="0" r="0" b="0"/>
            <wp:wrapNone/>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pic:cNvPicPr>
                      <a:picLocks noChangeAspect="1"/>
                    </pic:cNvPicPr>
                  </pic:nvPicPr>
                  <pic:blipFill>
                    <a:blip r:embed="rId9"/>
                    <a:stretch>
                      <a:fillRect/>
                    </a:stretch>
                  </pic:blipFill>
                  <pic:spPr>
                    <a:xfrm>
                      <a:off x="0" y="0"/>
                      <a:ext cx="5471034" cy="3291840"/>
                    </a:xfrm>
                    <a:prstGeom prst="rect">
                      <a:avLst/>
                    </a:prstGeom>
                  </pic:spPr>
                </pic:pic>
              </a:graphicData>
            </a:graphic>
          </wp:anchor>
        </w:drawing>
      </w:r>
      <w:r w:rsidR="003F14FC">
        <w:t>Tips and Tricks</w:t>
      </w:r>
    </w:p>
    <w:p w:rsidR="003F14FC" w:rsidRDefault="003F14FC" w:rsidP="004432AF">
      <w:pPr>
        <w:pStyle w:val="ListParagraph"/>
        <w:numPr>
          <w:ilvl w:val="0"/>
          <w:numId w:val="7"/>
        </w:numPr>
        <w:spacing w:line="276" w:lineRule="auto"/>
      </w:pPr>
      <w:r>
        <w:t xml:space="preserve">This protocol is especially useful for low to medium titer lysate. Thus, a 1:5 dilution was used. </w:t>
      </w:r>
    </w:p>
    <w:p w:rsidR="003F14FC" w:rsidRDefault="003F14FC" w:rsidP="004432AF">
      <w:pPr>
        <w:pStyle w:val="ListParagraph"/>
        <w:numPr>
          <w:ilvl w:val="0"/>
          <w:numId w:val="7"/>
        </w:numPr>
        <w:spacing w:line="276" w:lineRule="auto"/>
      </w:pPr>
      <w:r>
        <w:t xml:space="preserve">After the samples are boiled, they do not have to be boiled again if they are stored in </w:t>
      </w:r>
      <w:r w:rsidR="004432AF">
        <w:t>-20</w:t>
      </w:r>
      <w:r>
        <w:t xml:space="preserve"> °C. </w:t>
      </w:r>
    </w:p>
    <w:p w:rsidR="003F3D56" w:rsidRDefault="003F3D56" w:rsidP="00934E22">
      <w:pPr>
        <w:pStyle w:val="ListParagraph"/>
        <w:spacing w:line="276" w:lineRule="auto"/>
        <w:ind w:left="766"/>
      </w:pPr>
    </w:p>
    <w:sectPr w:rsidR="003F3D56" w:rsidSect="000C7E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ED" w:rsidRDefault="00340CED" w:rsidP="000C7E7E">
      <w:r>
        <w:separator/>
      </w:r>
    </w:p>
  </w:endnote>
  <w:endnote w:type="continuationSeparator" w:id="0">
    <w:p w:rsidR="00340CED" w:rsidRDefault="00340CED" w:rsidP="000C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47695"/>
      <w:docPartObj>
        <w:docPartGallery w:val="Page Numbers (Bottom of Page)"/>
        <w:docPartUnique/>
      </w:docPartObj>
    </w:sdtPr>
    <w:sdtEndPr>
      <w:rPr>
        <w:noProof/>
      </w:rPr>
    </w:sdtEndPr>
    <w:sdtContent>
      <w:p w:rsidR="000C7E7E" w:rsidRDefault="000C7E7E">
        <w:pPr>
          <w:pStyle w:val="Footer"/>
          <w:jc w:val="center"/>
        </w:pPr>
        <w:r>
          <w:fldChar w:fldCharType="begin"/>
        </w:r>
        <w:r>
          <w:instrText xml:space="preserve"> PAGE   \* MERGEFORMAT </w:instrText>
        </w:r>
        <w:r>
          <w:fldChar w:fldCharType="separate"/>
        </w:r>
        <w:r w:rsidR="00BA62EB">
          <w:rPr>
            <w:noProof/>
          </w:rPr>
          <w:t>2</w:t>
        </w:r>
        <w:r>
          <w:rPr>
            <w:noProof/>
          </w:rPr>
          <w:fldChar w:fldCharType="end"/>
        </w:r>
      </w:p>
    </w:sdtContent>
  </w:sdt>
  <w:p w:rsidR="000C7E7E" w:rsidRDefault="000C7E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ED" w:rsidRDefault="00340CED" w:rsidP="000C7E7E">
      <w:r>
        <w:separator/>
      </w:r>
    </w:p>
  </w:footnote>
  <w:footnote w:type="continuationSeparator" w:id="0">
    <w:p w:rsidR="00340CED" w:rsidRDefault="00340CED" w:rsidP="000C7E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23CD"/>
    <w:multiLevelType w:val="hybridMultilevel"/>
    <w:tmpl w:val="779AC48E"/>
    <w:lvl w:ilvl="0" w:tplc="E1CA91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861D54"/>
    <w:multiLevelType w:val="hybridMultilevel"/>
    <w:tmpl w:val="DAC690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C06F6"/>
    <w:multiLevelType w:val="hybridMultilevel"/>
    <w:tmpl w:val="E714931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A209D1"/>
    <w:multiLevelType w:val="hybridMultilevel"/>
    <w:tmpl w:val="92683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57056E"/>
    <w:multiLevelType w:val="hybridMultilevel"/>
    <w:tmpl w:val="A322F5E4"/>
    <w:lvl w:ilvl="0" w:tplc="04C436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C07C42"/>
    <w:multiLevelType w:val="hybridMultilevel"/>
    <w:tmpl w:val="8FBC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1626E"/>
    <w:multiLevelType w:val="hybridMultilevel"/>
    <w:tmpl w:val="2356F02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70"/>
    <w:rsid w:val="000807BC"/>
    <w:rsid w:val="000B53D5"/>
    <w:rsid w:val="000C7E7E"/>
    <w:rsid w:val="0010666E"/>
    <w:rsid w:val="001560DE"/>
    <w:rsid w:val="001D16E3"/>
    <w:rsid w:val="002F24D8"/>
    <w:rsid w:val="00340CED"/>
    <w:rsid w:val="00351746"/>
    <w:rsid w:val="003F14FC"/>
    <w:rsid w:val="003F3D56"/>
    <w:rsid w:val="00421F84"/>
    <w:rsid w:val="004432AF"/>
    <w:rsid w:val="00726B6A"/>
    <w:rsid w:val="00934E22"/>
    <w:rsid w:val="00963070"/>
    <w:rsid w:val="00BA62EB"/>
    <w:rsid w:val="00EB7B4A"/>
    <w:rsid w:val="00FF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AC9D0"/>
  <w14:defaultImageDpi w14:val="300"/>
  <w15:docId w15:val="{E012A802-E4DE-4628-9BBB-D3DA8FBE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70"/>
    <w:pPr>
      <w:ind w:left="720"/>
      <w:contextualSpacing/>
    </w:pPr>
  </w:style>
  <w:style w:type="paragraph" w:styleId="NormalWeb">
    <w:name w:val="Normal (Web)"/>
    <w:basedOn w:val="Normal"/>
    <w:uiPriority w:val="99"/>
    <w:semiHidden/>
    <w:unhideWhenUsed/>
    <w:rsid w:val="003F3D56"/>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1D1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E7E"/>
    <w:pPr>
      <w:tabs>
        <w:tab w:val="center" w:pos="4680"/>
        <w:tab w:val="right" w:pos="9360"/>
      </w:tabs>
    </w:pPr>
  </w:style>
  <w:style w:type="character" w:customStyle="1" w:styleId="HeaderChar">
    <w:name w:val="Header Char"/>
    <w:basedOn w:val="DefaultParagraphFont"/>
    <w:link w:val="Header"/>
    <w:uiPriority w:val="99"/>
    <w:rsid w:val="000C7E7E"/>
  </w:style>
  <w:style w:type="paragraph" w:styleId="Footer">
    <w:name w:val="footer"/>
    <w:basedOn w:val="Normal"/>
    <w:link w:val="FooterChar"/>
    <w:uiPriority w:val="99"/>
    <w:unhideWhenUsed/>
    <w:rsid w:val="000C7E7E"/>
    <w:pPr>
      <w:tabs>
        <w:tab w:val="center" w:pos="4680"/>
        <w:tab w:val="right" w:pos="9360"/>
      </w:tabs>
    </w:pPr>
  </w:style>
  <w:style w:type="character" w:customStyle="1" w:styleId="FooterChar">
    <w:name w:val="Footer Char"/>
    <w:basedOn w:val="DefaultParagraphFont"/>
    <w:link w:val="Footer"/>
    <w:uiPriority w:val="99"/>
    <w:rsid w:val="000C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8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0D94-B3F0-4E1D-B98B-CE460162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uwf</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chunglab fly</dc:creator>
  <cp:keywords/>
  <dc:description/>
  <cp:lastModifiedBy>May Zaw</cp:lastModifiedBy>
  <cp:revision>2</cp:revision>
  <dcterms:created xsi:type="dcterms:W3CDTF">2016-08-04T16:38:00Z</dcterms:created>
  <dcterms:modified xsi:type="dcterms:W3CDTF">2016-08-04T16:38:00Z</dcterms:modified>
</cp:coreProperties>
</file>