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1A5FB" w14:textId="77777777" w:rsidR="00004C76" w:rsidRPr="008A29E6" w:rsidRDefault="00004C76">
      <w:pPr>
        <w:rPr>
          <w:rFonts w:ascii="Calibri" w:eastAsia="Spectral ExtraLight" w:hAnsi="Calibri" w:cs="Calibri"/>
          <w:color w:val="000000" w:themeColor="text1"/>
        </w:rPr>
      </w:pPr>
    </w:p>
    <w:p w14:paraId="46C96B82" w14:textId="77777777" w:rsidR="00004C76" w:rsidRPr="008A29E6" w:rsidRDefault="00004C76">
      <w:pPr>
        <w:rPr>
          <w:rFonts w:ascii="Calibri" w:eastAsia="Spectral ExtraLight" w:hAnsi="Calibri" w:cs="Calibri"/>
          <w:color w:val="000000" w:themeColor="text1"/>
        </w:rPr>
      </w:pPr>
    </w:p>
    <w:p w14:paraId="382E29CD" w14:textId="77777777" w:rsidR="00004C76" w:rsidRPr="008A29E6" w:rsidRDefault="00712EE1">
      <w:pPr>
        <w:pStyle w:val="Heading2"/>
        <w:rPr>
          <w:rFonts w:ascii="Calibri" w:eastAsia="Spectral ExtraLight" w:hAnsi="Calibri" w:cs="Calibri"/>
          <w:color w:val="000000" w:themeColor="text1"/>
          <w:u w:val="single"/>
        </w:rPr>
      </w:pPr>
      <w:r w:rsidRPr="008A29E6">
        <w:rPr>
          <w:rFonts w:ascii="Calibri" w:eastAsia="Spectral ExtraLight" w:hAnsi="Calibri" w:cs="Calibri"/>
          <w:color w:val="000000" w:themeColor="text1"/>
          <w:u w:val="single"/>
        </w:rPr>
        <w:t>Gene 53 eq (37271)</w:t>
      </w:r>
    </w:p>
    <w:p w14:paraId="5C6AD78D" w14:textId="77777777" w:rsidR="00004C76" w:rsidRPr="008A29E6" w:rsidRDefault="00712EE1">
      <w:pPr>
        <w:pStyle w:val="Heading4"/>
        <w:rPr>
          <w:rFonts w:ascii="Calibri" w:eastAsia="Spectral ExtraLight" w:hAnsi="Calibri" w:cs="Calibri"/>
          <w:color w:val="000000" w:themeColor="text1"/>
        </w:rPr>
      </w:pPr>
      <w:bookmarkStart w:id="0" w:name="_w50g009ej04f" w:colFirst="0" w:colLast="0"/>
      <w:bookmarkStart w:id="1" w:name="_t8nzd6ssv92k" w:colFirst="0" w:colLast="0"/>
      <w:bookmarkEnd w:id="0"/>
      <w:bookmarkEnd w:id="1"/>
      <w:r w:rsidRPr="008A29E6">
        <w:rPr>
          <w:rFonts w:ascii="Calibri" w:eastAsia="Spectral ExtraLight" w:hAnsi="Calibri" w:cs="Calibri"/>
          <w:color w:val="000000" w:themeColor="text1"/>
        </w:rPr>
        <w:t>2.2 HHPRED</w:t>
      </w: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6285"/>
      </w:tblGrid>
      <w:tr w:rsidR="008A29E6" w:rsidRPr="008A29E6" w14:paraId="4D473653" w14:textId="77777777">
        <w:tc>
          <w:tcPr>
            <w:tcW w:w="3075" w:type="dxa"/>
          </w:tcPr>
          <w:p w14:paraId="09DC323D" w14:textId="77777777" w:rsidR="00004C76" w:rsidRPr="008A29E6" w:rsidRDefault="00712EE1">
            <w:pPr>
              <w:rPr>
                <w:rFonts w:ascii="Calibri" w:eastAsia="Spectral ExtraLight" w:hAnsi="Calibri" w:cs="Calibri"/>
                <w:color w:val="000000" w:themeColor="text1"/>
              </w:rPr>
            </w:pPr>
            <w:r w:rsidRPr="008A29E6">
              <w:rPr>
                <w:rFonts w:ascii="Calibri" w:eastAsia="Spectral ExtraLight" w:hAnsi="Calibri" w:cs="Calibri"/>
                <w:color w:val="000000" w:themeColor="text1"/>
              </w:rPr>
              <w:t>Evidence Description</w:t>
            </w:r>
          </w:p>
        </w:tc>
        <w:tc>
          <w:tcPr>
            <w:tcW w:w="6285" w:type="dxa"/>
          </w:tcPr>
          <w:p w14:paraId="5F8004DB" w14:textId="77777777" w:rsidR="00004C76" w:rsidRPr="008A29E6" w:rsidRDefault="00712EE1">
            <w:pPr>
              <w:rPr>
                <w:rFonts w:ascii="Calibri" w:eastAsia="Spectral ExtraLight" w:hAnsi="Calibri" w:cs="Calibri"/>
                <w:color w:val="000000" w:themeColor="text1"/>
              </w:rPr>
            </w:pPr>
            <w:r w:rsidRPr="008A29E6">
              <w:rPr>
                <w:rFonts w:ascii="Calibri" w:eastAsia="Spectral ExtraLight" w:hAnsi="Calibri" w:cs="Calibri"/>
                <w:color w:val="000000" w:themeColor="text1"/>
              </w:rPr>
              <w:t>Evidence</w:t>
            </w:r>
          </w:p>
        </w:tc>
      </w:tr>
      <w:tr w:rsidR="008A29E6" w:rsidRPr="008A29E6" w14:paraId="6AD2E7CE" w14:textId="77777777">
        <w:tc>
          <w:tcPr>
            <w:tcW w:w="3075" w:type="dxa"/>
          </w:tcPr>
          <w:p w14:paraId="3FFBF627" w14:textId="1E178222" w:rsidR="00004C76" w:rsidRPr="008A29E6" w:rsidRDefault="008A29E6">
            <w:pPr>
              <w:rPr>
                <w:rFonts w:ascii="Calibri" w:eastAsia="Spectral ExtraLight" w:hAnsi="Calibri" w:cs="Calibri"/>
                <w:color w:val="000000" w:themeColor="text1"/>
              </w:rPr>
            </w:pPr>
            <w:r w:rsidRPr="008A29E6">
              <w:rPr>
                <w:rFonts w:ascii="Calibri" w:eastAsia="Spectral ExtraLight" w:hAnsi="Calibri" w:cs="Calibri"/>
                <w:color w:val="000000" w:themeColor="text1"/>
              </w:rPr>
              <w:t xml:space="preserve">Results are aligned well, with over 90% probabilities indicating the gene’s function to be Hfq RNA Binding Protein, rather than a hypothetical protein or </w:t>
            </w:r>
            <w:r w:rsidR="00255B85" w:rsidRPr="008A29E6">
              <w:rPr>
                <w:rFonts w:ascii="Calibri" w:eastAsia="Spectral ExtraLight" w:hAnsi="Calibri" w:cs="Calibri"/>
                <w:color w:val="000000" w:themeColor="text1"/>
              </w:rPr>
              <w:t>just</w:t>
            </w:r>
            <w:r w:rsidRPr="008A29E6">
              <w:rPr>
                <w:rFonts w:ascii="Calibri" w:eastAsia="Spectral ExtraLight" w:hAnsi="Calibri" w:cs="Calibri"/>
                <w:color w:val="000000" w:themeColor="text1"/>
              </w:rPr>
              <w:t xml:space="preserve"> an RNA Binding Protein. </w:t>
            </w:r>
          </w:p>
        </w:tc>
        <w:tc>
          <w:tcPr>
            <w:tcW w:w="6285" w:type="dxa"/>
          </w:tcPr>
          <w:p w14:paraId="401F1481" w14:textId="77777777" w:rsidR="00004C76" w:rsidRPr="008A29E6" w:rsidRDefault="00712EE1">
            <w:pPr>
              <w:rPr>
                <w:rFonts w:ascii="Calibri" w:eastAsia="Spectral ExtraLight" w:hAnsi="Calibri" w:cs="Calibri"/>
                <w:color w:val="000000" w:themeColor="text1"/>
              </w:rPr>
            </w:pPr>
            <w:r w:rsidRPr="008A29E6">
              <w:rPr>
                <w:rFonts w:ascii="Calibri" w:eastAsia="Spectral ExtraLight" w:hAnsi="Calibri" w:cs="Calibri"/>
                <w:noProof/>
                <w:color w:val="000000" w:themeColor="text1"/>
              </w:rPr>
              <w:drawing>
                <wp:inline distT="114300" distB="114300" distL="114300" distR="114300" wp14:anchorId="0091FC34" wp14:editId="7B84F981">
                  <wp:extent cx="3857625" cy="2755900"/>
                  <wp:effectExtent l="0" t="0" r="0" b="0"/>
                  <wp:docPr id="76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75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6266A5" w14:textId="77777777" w:rsidR="00004C76" w:rsidRPr="008A29E6" w:rsidRDefault="00004C76">
            <w:pPr>
              <w:rPr>
                <w:rFonts w:ascii="Calibri" w:eastAsia="Spectral ExtraLight" w:hAnsi="Calibri" w:cs="Calibri"/>
                <w:color w:val="000000" w:themeColor="text1"/>
              </w:rPr>
            </w:pPr>
          </w:p>
          <w:p w14:paraId="710869E2" w14:textId="77777777" w:rsidR="00004C76" w:rsidRPr="008A29E6" w:rsidRDefault="00712EE1">
            <w:pPr>
              <w:rPr>
                <w:rFonts w:ascii="Calibri" w:eastAsia="Spectral ExtraLight" w:hAnsi="Calibri" w:cs="Calibri"/>
                <w:color w:val="000000" w:themeColor="text1"/>
              </w:rPr>
            </w:pPr>
            <w:r w:rsidRPr="008A29E6">
              <w:rPr>
                <w:rFonts w:ascii="Calibri" w:eastAsia="Spectral ExtraLight" w:hAnsi="Calibri" w:cs="Calibri"/>
                <w:noProof/>
                <w:color w:val="000000" w:themeColor="text1"/>
              </w:rPr>
              <w:drawing>
                <wp:inline distT="114300" distB="114300" distL="114300" distR="114300" wp14:anchorId="3764C6EC" wp14:editId="303010E5">
                  <wp:extent cx="3857625" cy="2400300"/>
                  <wp:effectExtent l="0" t="0" r="0" b="0"/>
                  <wp:docPr id="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40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3A879" w14:textId="77777777" w:rsidR="00004C76" w:rsidRPr="008A29E6" w:rsidRDefault="00004C76">
      <w:pPr>
        <w:rPr>
          <w:rFonts w:ascii="Calibri" w:eastAsia="Spectral ExtraLight" w:hAnsi="Calibri" w:cs="Calibri"/>
          <w:color w:val="000000" w:themeColor="text1"/>
        </w:rPr>
      </w:pPr>
    </w:p>
    <w:p w14:paraId="607D2E52" w14:textId="532F67EC" w:rsidR="00004C76" w:rsidRDefault="0019393F" w:rsidP="002B27EF">
      <w:pPr>
        <w:rPr>
          <w:rFonts w:ascii="Calibri" w:hAnsi="Calibri" w:cs="Calibri"/>
          <w:color w:val="000000" w:themeColor="text1"/>
        </w:rPr>
      </w:pPr>
      <w:bookmarkStart w:id="2" w:name="_nqu0li3mlkvy" w:colFirst="0" w:colLast="0"/>
      <w:bookmarkStart w:id="3" w:name="_oq15e6pn88ub" w:colFirst="0" w:colLast="0"/>
      <w:bookmarkStart w:id="4" w:name="_4lb7kueolvg0" w:colFirst="0" w:colLast="0"/>
      <w:bookmarkStart w:id="5" w:name="_4vbsxxplyxw5" w:colFirst="0" w:colLast="0"/>
      <w:bookmarkEnd w:id="2"/>
      <w:bookmarkEnd w:id="3"/>
      <w:bookmarkEnd w:id="4"/>
      <w:bookmarkEnd w:id="5"/>
      <w:proofErr w:type="spellStart"/>
      <w:r>
        <w:rPr>
          <w:rFonts w:ascii="Calibri" w:hAnsi="Calibri" w:cs="Calibri"/>
          <w:color w:val="000000" w:themeColor="text1"/>
        </w:rPr>
        <w:t>Hfq-Sm-Lsm</w:t>
      </w:r>
      <w:proofErr w:type="spellEnd"/>
      <w:r>
        <w:rPr>
          <w:rFonts w:ascii="Calibri" w:hAnsi="Calibri" w:cs="Calibri"/>
          <w:color w:val="000000" w:themeColor="text1"/>
        </w:rPr>
        <w:t xml:space="preserve"> protein family are a unique class of RNA binding proteins that were originally discovered as being required for replication of the RNA </w:t>
      </w:r>
      <w:r w:rsidRPr="008A29E6">
        <w:rPr>
          <w:rFonts w:ascii="Calibri" w:hAnsi="Calibri" w:cs="Calibri"/>
          <w:color w:val="000000" w:themeColor="text1"/>
        </w:rPr>
        <w:t>bacteriophage Qβ</w:t>
      </w:r>
      <w:r>
        <w:rPr>
          <w:rFonts w:ascii="Calibri" w:hAnsi="Calibri" w:cs="Calibri"/>
          <w:color w:val="000000" w:themeColor="text1"/>
        </w:rPr>
        <w:t xml:space="preserve">. It is distinct from other annotated phage RNA binding proteins. </w:t>
      </w:r>
    </w:p>
    <w:p w14:paraId="5CB2BDD9" w14:textId="77777777" w:rsidR="0019393F" w:rsidRPr="008A29E6" w:rsidRDefault="0019393F" w:rsidP="002B27EF">
      <w:pPr>
        <w:rPr>
          <w:rFonts w:ascii="Calibri" w:hAnsi="Calibri" w:cs="Calibri"/>
          <w:color w:val="000000" w:themeColor="text1"/>
        </w:rPr>
      </w:pPr>
    </w:p>
    <w:p w14:paraId="3D66E997" w14:textId="53ACACDD" w:rsidR="00004C76" w:rsidRDefault="004B5BCF" w:rsidP="002B27EF">
      <w:pPr>
        <w:ind w:firstLine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Some info from </w:t>
      </w:r>
      <w:r w:rsidR="00712EE1" w:rsidRPr="008A29E6">
        <w:rPr>
          <w:rFonts w:ascii="Calibri" w:hAnsi="Calibri" w:cs="Calibri"/>
          <w:color w:val="000000" w:themeColor="text1"/>
        </w:rPr>
        <w:t>(</w:t>
      </w:r>
      <w:hyperlink r:id="rId9">
        <w:r w:rsidR="00712EE1" w:rsidRPr="008A29E6">
          <w:rPr>
            <w:rFonts w:ascii="Calibri" w:hAnsi="Calibri" w:cs="Calibri"/>
            <w:color w:val="000000" w:themeColor="text1"/>
            <w:u w:val="single"/>
          </w:rPr>
          <w:t>https://www.ncbi.nlm.nih.g</w:t>
        </w:r>
        <w:r w:rsidR="00712EE1" w:rsidRPr="008A29E6">
          <w:rPr>
            <w:rFonts w:ascii="Calibri" w:hAnsi="Calibri" w:cs="Calibri"/>
            <w:color w:val="000000" w:themeColor="text1"/>
            <w:u w:val="single"/>
          </w:rPr>
          <w:t>o</w:t>
        </w:r>
        <w:r w:rsidR="00712EE1" w:rsidRPr="008A29E6">
          <w:rPr>
            <w:rFonts w:ascii="Calibri" w:hAnsi="Calibri" w:cs="Calibri"/>
            <w:color w:val="000000" w:themeColor="text1"/>
            <w:u w:val="single"/>
          </w:rPr>
          <w:t>v/pmc/articles/PMC4615618/</w:t>
        </w:r>
      </w:hyperlink>
      <w:r w:rsidR="00712EE1" w:rsidRPr="008A29E6">
        <w:rPr>
          <w:rFonts w:ascii="Calibri" w:hAnsi="Calibri" w:cs="Calibri"/>
          <w:color w:val="000000" w:themeColor="text1"/>
        </w:rPr>
        <w:t>)</w:t>
      </w:r>
      <w:r>
        <w:rPr>
          <w:rFonts w:ascii="Calibri" w:hAnsi="Calibri" w:cs="Calibri"/>
          <w:color w:val="000000" w:themeColor="text1"/>
        </w:rPr>
        <w:t>:</w:t>
      </w:r>
    </w:p>
    <w:p w14:paraId="53620364" w14:textId="77777777" w:rsidR="004B5BCF" w:rsidRDefault="004B5BCF" w:rsidP="004B5BCF">
      <w:pPr>
        <w:pStyle w:val="NormalWeb"/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Research on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commenced in the late 1960s, when the protein was identified in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Escherichia coli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as an essential host factor of the RNA bacteriophage Qβ (from which the name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was derived)</w:t>
      </w:r>
      <w:hyperlink r:id="rId10" w:anchor="R134" w:history="1">
        <w:r>
          <w:rPr>
            <w:rStyle w:val="Hyperlink"/>
            <w:color w:val="642A8F"/>
            <w:sz w:val="20"/>
            <w:szCs w:val="20"/>
            <w:vertAlign w:val="superscript"/>
          </w:rPr>
          <w:t>134</w:t>
        </w:r>
      </w:hyperlink>
      <w:r>
        <w:rPr>
          <w:color w:val="000000"/>
        </w:rPr>
        <w:t xml:space="preserve">; the </w:t>
      </w:r>
      <w:r>
        <w:rPr>
          <w:color w:val="000000"/>
        </w:rPr>
        <w:lastRenderedPageBreak/>
        <w:t>protein probably improves the replication efficiency of the viral genome by melting a secondary structure at the 3′ end of the RNA</w:t>
      </w:r>
      <w:hyperlink r:id="rId11" w:anchor="R135" w:history="1">
        <w:r>
          <w:rPr>
            <w:rStyle w:val="Hyperlink"/>
            <w:color w:val="642A8F"/>
            <w:sz w:val="20"/>
            <w:szCs w:val="20"/>
            <w:vertAlign w:val="superscript"/>
          </w:rPr>
          <w:t>135</w:t>
        </w:r>
      </w:hyperlink>
      <w:r>
        <w:rPr>
          <w:color w:val="000000"/>
        </w:rPr>
        <w:t>. Early biochemical characterization defined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E. coli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as a remarkably heat-resistant and abundant nucleic acid-binding protein with strong preferences for AU-rich single-stranded RNA</w:t>
      </w:r>
      <w:hyperlink r:id="rId12" w:anchor="R86" w:history="1">
        <w:r>
          <w:rPr>
            <w:rStyle w:val="Hyperlink"/>
            <w:color w:val="642A8F"/>
            <w:sz w:val="20"/>
            <w:szCs w:val="20"/>
            <w:vertAlign w:val="superscript"/>
          </w:rPr>
          <w:t>86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13" w:anchor="R136" w:history="1">
        <w:r>
          <w:rPr>
            <w:rStyle w:val="Hyperlink"/>
            <w:color w:val="642A8F"/>
            <w:sz w:val="20"/>
            <w:szCs w:val="20"/>
            <w:vertAlign w:val="superscript"/>
          </w:rPr>
          <w:t>136</w:t>
        </w:r>
      </w:hyperlink>
      <w:r>
        <w:rPr>
          <w:color w:val="000000"/>
          <w:sz w:val="20"/>
          <w:szCs w:val="20"/>
          <w:vertAlign w:val="superscript"/>
        </w:rPr>
        <w:t>–</w:t>
      </w:r>
      <w:hyperlink r:id="rId14" w:anchor="R140" w:history="1">
        <w:r>
          <w:rPr>
            <w:rStyle w:val="Hyperlink"/>
            <w:color w:val="642A8F"/>
            <w:sz w:val="20"/>
            <w:szCs w:val="20"/>
            <w:vertAlign w:val="superscript"/>
          </w:rPr>
          <w:t>140</w:t>
        </w:r>
      </w:hyperlink>
      <w:r>
        <w:rPr>
          <w:color w:val="000000"/>
        </w:rPr>
        <w:t>.</w:t>
      </w:r>
    </w:p>
    <w:p w14:paraId="72290644" w14:textId="77777777" w:rsidR="004B5BCF" w:rsidRDefault="004B5BCF" w:rsidP="004B5BCF">
      <w:pPr>
        <w:pStyle w:val="NormalWeb"/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The 1990s brought the first clues as to the potential benefits that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could provide to the bacterium itself, rather than to its phage predator. Loss of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was found to reduce fitness and impair the stress response, and (in pathogenic bacteria such as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Brucella abortus</w:t>
      </w:r>
      <w:r>
        <w:rPr>
          <w:color w:val="000000"/>
        </w:rPr>
        <w:t>) to diminish virulence</w:t>
      </w:r>
      <w:hyperlink r:id="rId15" w:anchor="R141" w:history="1">
        <w:r>
          <w:rPr>
            <w:rStyle w:val="Hyperlink"/>
            <w:color w:val="642A8F"/>
            <w:sz w:val="20"/>
            <w:szCs w:val="20"/>
            <w:vertAlign w:val="superscript"/>
          </w:rPr>
          <w:t>141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16" w:anchor="R142" w:history="1">
        <w:r>
          <w:rPr>
            <w:rStyle w:val="Hyperlink"/>
            <w:color w:val="642A8F"/>
            <w:sz w:val="20"/>
            <w:szCs w:val="20"/>
            <w:vertAlign w:val="superscript"/>
          </w:rPr>
          <w:t>142</w:t>
        </w:r>
      </w:hyperlink>
      <w:r>
        <w:rPr>
          <w:color w:val="000000"/>
        </w:rPr>
        <w:t>. In addition, it was discovered that the translation or turnover of numerous cellular mRNAs is regulated by Hfq</w:t>
      </w:r>
      <w:hyperlink r:id="rId17" w:anchor="R76" w:history="1">
        <w:r>
          <w:rPr>
            <w:rStyle w:val="Hyperlink"/>
            <w:color w:val="642A8F"/>
            <w:sz w:val="20"/>
            <w:szCs w:val="20"/>
            <w:vertAlign w:val="superscript"/>
          </w:rPr>
          <w:t>76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18" w:anchor="R143" w:history="1">
        <w:r>
          <w:rPr>
            <w:rStyle w:val="Hyperlink"/>
            <w:color w:val="642A8F"/>
            <w:sz w:val="20"/>
            <w:szCs w:val="20"/>
            <w:vertAlign w:val="superscript"/>
          </w:rPr>
          <w:t>143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19" w:anchor="R144" w:history="1">
        <w:r>
          <w:rPr>
            <w:rStyle w:val="Hyperlink"/>
            <w:color w:val="642A8F"/>
            <w:sz w:val="20"/>
            <w:szCs w:val="20"/>
            <w:vertAlign w:val="superscript"/>
          </w:rPr>
          <w:t>144</w:t>
        </w:r>
      </w:hyperlink>
      <w:r>
        <w:rPr>
          <w:color w:val="000000"/>
        </w:rPr>
        <w:t>.</w:t>
      </w:r>
    </w:p>
    <w:p w14:paraId="2AE250F8" w14:textId="77777777" w:rsidR="004B5BCF" w:rsidRDefault="004B5BCF" w:rsidP="004B5BCF">
      <w:pPr>
        <w:pStyle w:val="NormalWeb"/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About a decade ago, structural and bioinformatic studies showed that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is part of the much wider </w:t>
      </w:r>
      <w:proofErr w:type="spellStart"/>
      <w:r>
        <w:rPr>
          <w:color w:val="000000"/>
        </w:rPr>
        <w:t>Sm</w:t>
      </w:r>
      <w:proofErr w:type="spellEnd"/>
      <w:r>
        <w:rPr>
          <w:color w:val="000000"/>
        </w:rPr>
        <w:t xml:space="preserve"> family, highlighting that its origins date back to the last common ancestor of eukaryotic, bacterial and archaeal lineages</w:t>
      </w:r>
      <w:hyperlink r:id="rId20" w:anchor="R50" w:history="1">
        <w:r>
          <w:rPr>
            <w:rStyle w:val="Hyperlink"/>
            <w:color w:val="642A8F"/>
            <w:sz w:val="20"/>
            <w:szCs w:val="20"/>
            <w:vertAlign w:val="superscript"/>
          </w:rPr>
          <w:t>50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21" w:anchor="R67" w:history="1">
        <w:r>
          <w:rPr>
            <w:rStyle w:val="Hyperlink"/>
            <w:color w:val="642A8F"/>
            <w:sz w:val="20"/>
            <w:szCs w:val="20"/>
            <w:vertAlign w:val="superscript"/>
          </w:rPr>
          <w:t>67</w:t>
        </w:r>
      </w:hyperlink>
      <w:r>
        <w:rPr>
          <w:color w:val="000000"/>
        </w:rPr>
        <w:t xml:space="preserve">. It also became clear that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associates with small regulatory RNAs (sRNAs) to promote their base-pairing with cognate target mRNAs</w:t>
      </w:r>
      <w:hyperlink r:id="rId22" w:anchor="R8" w:history="1">
        <w:r>
          <w:rPr>
            <w:rStyle w:val="Hyperlink"/>
            <w:color w:val="642A8F"/>
            <w:sz w:val="20"/>
            <w:szCs w:val="20"/>
            <w:vertAlign w:val="superscript"/>
          </w:rPr>
          <w:t>8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23" w:anchor="R50" w:history="1">
        <w:r>
          <w:rPr>
            <w:rStyle w:val="Hyperlink"/>
            <w:color w:val="642A8F"/>
            <w:sz w:val="20"/>
            <w:szCs w:val="20"/>
            <w:vertAlign w:val="superscript"/>
          </w:rPr>
          <w:t>50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24" w:anchor="R67" w:history="1">
        <w:r>
          <w:rPr>
            <w:rStyle w:val="Hyperlink"/>
            <w:color w:val="642A8F"/>
            <w:sz w:val="20"/>
            <w:szCs w:val="20"/>
            <w:vertAlign w:val="superscript"/>
          </w:rPr>
          <w:t>6</w:t>
        </w:r>
        <w:r>
          <w:rPr>
            <w:rStyle w:val="Hyperlink"/>
            <w:color w:val="642A8F"/>
            <w:sz w:val="20"/>
            <w:szCs w:val="20"/>
            <w:vertAlign w:val="superscript"/>
          </w:rPr>
          <w:t>7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25" w:anchor="R145" w:history="1">
        <w:r>
          <w:rPr>
            <w:rStyle w:val="Hyperlink"/>
            <w:color w:val="642A8F"/>
            <w:sz w:val="20"/>
            <w:szCs w:val="20"/>
            <w:vertAlign w:val="superscript"/>
          </w:rPr>
          <w:t>145</w:t>
        </w:r>
      </w:hyperlink>
      <w:r>
        <w:rPr>
          <w:color w:val="000000"/>
        </w:rPr>
        <w:t xml:space="preserve">. The sRNA–mRNA pairing affects the translation rate and lifetime of the targeted transcript. The connection of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as a facilitator of the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trans</w:t>
      </w:r>
      <w:r>
        <w:rPr>
          <w:color w:val="000000"/>
        </w:rPr>
        <w:t>-actions of sRNAs could account for many of the complex phenotypic effects that are observed in the early gene knockout studies</w:t>
      </w:r>
      <w:hyperlink r:id="rId26" w:anchor="R9" w:history="1">
        <w:r>
          <w:rPr>
            <w:rStyle w:val="Hyperlink"/>
            <w:color w:val="642A8F"/>
            <w:sz w:val="20"/>
            <w:szCs w:val="20"/>
            <w:vertAlign w:val="superscript"/>
          </w:rPr>
          <w:t>9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27" w:anchor="R141" w:history="1">
        <w:r>
          <w:rPr>
            <w:rStyle w:val="Hyperlink"/>
            <w:color w:val="642A8F"/>
            <w:sz w:val="20"/>
            <w:szCs w:val="20"/>
            <w:vertAlign w:val="superscript"/>
          </w:rPr>
          <w:t>141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proteins have been predicted to be present in at least 50% of all bacterial species</w:t>
      </w:r>
      <w:hyperlink r:id="rId28" w:anchor="R2" w:history="1">
        <w:r>
          <w:rPr>
            <w:rStyle w:val="Hyperlink"/>
            <w:color w:val="642A8F"/>
            <w:sz w:val="20"/>
            <w:szCs w:val="20"/>
            <w:vertAlign w:val="superscript"/>
          </w:rPr>
          <w:t>2</w:t>
        </w:r>
      </w:hyperlink>
      <w:r>
        <w:rPr>
          <w:color w:val="000000"/>
        </w:rPr>
        <w:t>. In addition, unusual functional homologues with weak homology to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E. coli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are still being discovered</w:t>
      </w:r>
      <w:hyperlink r:id="rId29" w:anchor="R126" w:history="1">
        <w:r>
          <w:rPr>
            <w:rStyle w:val="Hyperlink"/>
            <w:color w:val="642A8F"/>
            <w:sz w:val="20"/>
            <w:szCs w:val="20"/>
            <w:vertAlign w:val="superscript"/>
          </w:rPr>
          <w:t>126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30" w:anchor="R146" w:history="1">
        <w:r>
          <w:rPr>
            <w:rStyle w:val="Hyperlink"/>
            <w:color w:val="642A8F"/>
            <w:sz w:val="20"/>
            <w:szCs w:val="20"/>
            <w:vertAlign w:val="superscript"/>
          </w:rPr>
          <w:t>146</w:t>
        </w:r>
      </w:hyperlink>
      <w:r>
        <w:rPr>
          <w:color w:val="000000"/>
          <w:sz w:val="20"/>
          <w:szCs w:val="20"/>
          <w:vertAlign w:val="superscript"/>
        </w:rPr>
        <w:t>,</w:t>
      </w:r>
      <w:hyperlink r:id="rId31" w:anchor="R147" w:history="1">
        <w:r>
          <w:rPr>
            <w:rStyle w:val="Hyperlink"/>
            <w:color w:val="642A8F"/>
            <w:sz w:val="20"/>
            <w:szCs w:val="20"/>
            <w:vertAlign w:val="superscript"/>
          </w:rPr>
          <w:t>147</w:t>
        </w:r>
      </w:hyperlink>
      <w:r>
        <w:rPr>
          <w:color w:val="000000"/>
        </w:rPr>
        <w:t xml:space="preserve">, suggesting that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Hfq</w:t>
      </w:r>
      <w:proofErr w:type="spellEnd"/>
      <w:r>
        <w:rPr>
          <w:color w:val="000000"/>
        </w:rPr>
        <w:t>-like proteins operate as a hub for post-transcriptional regulation in many diverse bacteria.</w:t>
      </w:r>
    </w:p>
    <w:p w14:paraId="2270806A" w14:textId="77777777" w:rsidR="004B5BCF" w:rsidRPr="008A29E6" w:rsidRDefault="004B5BCF" w:rsidP="002B27EF">
      <w:pPr>
        <w:ind w:firstLine="720"/>
        <w:rPr>
          <w:rFonts w:ascii="Calibri" w:hAnsi="Calibri" w:cs="Calibri"/>
          <w:color w:val="000000" w:themeColor="text1"/>
        </w:rPr>
      </w:pPr>
    </w:p>
    <w:p w14:paraId="097575A8" w14:textId="7AC2F7AC" w:rsidR="00004C76" w:rsidRPr="008A29E6" w:rsidRDefault="00712EE1" w:rsidP="004B5BCF">
      <w:pPr>
        <w:rPr>
          <w:rFonts w:ascii="Calibri" w:hAnsi="Calibri" w:cs="Calibri"/>
          <w:color w:val="000000" w:themeColor="text1"/>
        </w:rPr>
      </w:pPr>
      <w:r w:rsidRPr="008A29E6">
        <w:rPr>
          <w:rFonts w:ascii="Calibri" w:hAnsi="Calibri" w:cs="Calibri"/>
          <w:color w:val="000000" w:themeColor="text1"/>
        </w:rPr>
        <w:t xml:space="preserve"> </w:t>
      </w:r>
    </w:p>
    <w:sectPr w:rsidR="00004C76" w:rsidRPr="008A29E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14D" w14:textId="77777777" w:rsidR="0071793B" w:rsidRDefault="0071793B" w:rsidP="00E923EA">
      <w:pPr>
        <w:spacing w:line="240" w:lineRule="auto"/>
      </w:pPr>
      <w:r>
        <w:separator/>
      </w:r>
    </w:p>
  </w:endnote>
  <w:endnote w:type="continuationSeparator" w:id="0">
    <w:p w14:paraId="4E2E8BAF" w14:textId="77777777" w:rsidR="0071793B" w:rsidRDefault="0071793B" w:rsidP="00E92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 ExtraLight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721F" w14:textId="77777777" w:rsidR="00E923EA" w:rsidRDefault="00E92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2431" w14:textId="77777777" w:rsidR="00E923EA" w:rsidRDefault="00E92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33C4" w14:textId="77777777" w:rsidR="00E923EA" w:rsidRDefault="00E9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8038" w14:textId="77777777" w:rsidR="0071793B" w:rsidRDefault="0071793B" w:rsidP="00E923EA">
      <w:pPr>
        <w:spacing w:line="240" w:lineRule="auto"/>
      </w:pPr>
      <w:r>
        <w:separator/>
      </w:r>
    </w:p>
  </w:footnote>
  <w:footnote w:type="continuationSeparator" w:id="0">
    <w:p w14:paraId="2A951BA7" w14:textId="77777777" w:rsidR="0071793B" w:rsidRDefault="0071793B" w:rsidP="00E92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7779" w14:textId="77777777" w:rsidR="00E923EA" w:rsidRDefault="00E9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4FCF" w14:textId="77777777" w:rsidR="00E923EA" w:rsidRDefault="00E92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E9F" w14:textId="77777777" w:rsidR="00E923EA" w:rsidRDefault="00E9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17C"/>
    <w:multiLevelType w:val="multilevel"/>
    <w:tmpl w:val="E01E7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A27C1"/>
    <w:multiLevelType w:val="multilevel"/>
    <w:tmpl w:val="B92A0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9F1B07"/>
    <w:multiLevelType w:val="multilevel"/>
    <w:tmpl w:val="423EA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C96049"/>
    <w:multiLevelType w:val="multilevel"/>
    <w:tmpl w:val="19C29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ED7DAF"/>
    <w:multiLevelType w:val="multilevel"/>
    <w:tmpl w:val="123AA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76"/>
    <w:rsid w:val="00004C76"/>
    <w:rsid w:val="0019393F"/>
    <w:rsid w:val="00255B85"/>
    <w:rsid w:val="002B27EF"/>
    <w:rsid w:val="004B5BCF"/>
    <w:rsid w:val="00712EE1"/>
    <w:rsid w:val="0071793B"/>
    <w:rsid w:val="008A29E6"/>
    <w:rsid w:val="00B9697E"/>
    <w:rsid w:val="00E04DCE"/>
    <w:rsid w:val="00E923EA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69AB6"/>
  <w15:docId w15:val="{5386BD02-966D-AD4C-933C-93CBD52A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923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EA"/>
  </w:style>
  <w:style w:type="paragraph" w:styleId="Footer">
    <w:name w:val="footer"/>
    <w:basedOn w:val="Normal"/>
    <w:link w:val="FooterChar"/>
    <w:uiPriority w:val="99"/>
    <w:unhideWhenUsed/>
    <w:rsid w:val="00E923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EA"/>
  </w:style>
  <w:style w:type="paragraph" w:styleId="NormalWeb">
    <w:name w:val="Normal (Web)"/>
    <w:basedOn w:val="Normal"/>
    <w:uiPriority w:val="99"/>
    <w:semiHidden/>
    <w:unhideWhenUsed/>
    <w:rsid w:val="004B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4B5BCF"/>
  </w:style>
  <w:style w:type="character" w:styleId="Emphasis">
    <w:name w:val="Emphasis"/>
    <w:basedOn w:val="DefaultParagraphFont"/>
    <w:uiPriority w:val="20"/>
    <w:qFormat/>
    <w:rsid w:val="004B5B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4615618/" TargetMode="External"/><Relationship Id="rId18" Type="http://schemas.openxmlformats.org/officeDocument/2006/relationships/hyperlink" Target="https://www.ncbi.nlm.nih.gov/pmc/articles/PMC4615618/" TargetMode="External"/><Relationship Id="rId26" Type="http://schemas.openxmlformats.org/officeDocument/2006/relationships/hyperlink" Target="https://www.ncbi.nlm.nih.gov/pmc/articles/PMC4615618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cbi.nlm.nih.gov/pmc/articles/PMC4615618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pmc/articles/PMC4615618/" TargetMode="External"/><Relationship Id="rId17" Type="http://schemas.openxmlformats.org/officeDocument/2006/relationships/hyperlink" Target="https://www.ncbi.nlm.nih.gov/pmc/articles/PMC4615618/" TargetMode="External"/><Relationship Id="rId25" Type="http://schemas.openxmlformats.org/officeDocument/2006/relationships/hyperlink" Target="https://www.ncbi.nlm.nih.gov/pmc/articles/PMC4615618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4615618/" TargetMode="External"/><Relationship Id="rId20" Type="http://schemas.openxmlformats.org/officeDocument/2006/relationships/hyperlink" Target="https://www.ncbi.nlm.nih.gov/pmc/articles/PMC4615618/" TargetMode="External"/><Relationship Id="rId29" Type="http://schemas.openxmlformats.org/officeDocument/2006/relationships/hyperlink" Target="https://www.ncbi.nlm.nih.gov/pmc/articles/PMC461561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4615618/" TargetMode="External"/><Relationship Id="rId24" Type="http://schemas.openxmlformats.org/officeDocument/2006/relationships/hyperlink" Target="https://www.ncbi.nlm.nih.gov/pmc/articles/PMC4615618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4615618/" TargetMode="External"/><Relationship Id="rId23" Type="http://schemas.openxmlformats.org/officeDocument/2006/relationships/hyperlink" Target="https://www.ncbi.nlm.nih.gov/pmc/articles/PMC4615618/" TargetMode="External"/><Relationship Id="rId28" Type="http://schemas.openxmlformats.org/officeDocument/2006/relationships/hyperlink" Target="https://www.ncbi.nlm.nih.gov/pmc/articles/PMC4615618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ncbi.nlm.nih.gov/pmc/articles/PMC4615618/" TargetMode="External"/><Relationship Id="rId19" Type="http://schemas.openxmlformats.org/officeDocument/2006/relationships/hyperlink" Target="https://www.ncbi.nlm.nih.gov/pmc/articles/PMC4615618/" TargetMode="External"/><Relationship Id="rId31" Type="http://schemas.openxmlformats.org/officeDocument/2006/relationships/hyperlink" Target="https://www.ncbi.nlm.nih.gov/pmc/articles/PMC4615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615618/" TargetMode="External"/><Relationship Id="rId14" Type="http://schemas.openxmlformats.org/officeDocument/2006/relationships/hyperlink" Target="https://www.ncbi.nlm.nih.gov/pmc/articles/PMC4615618/" TargetMode="External"/><Relationship Id="rId22" Type="http://schemas.openxmlformats.org/officeDocument/2006/relationships/hyperlink" Target="https://www.ncbi.nlm.nih.gov/pmc/articles/PMC4615618/" TargetMode="External"/><Relationship Id="rId27" Type="http://schemas.openxmlformats.org/officeDocument/2006/relationships/hyperlink" Target="https://www.ncbi.nlm.nih.gov/pmc/articles/PMC4615618/" TargetMode="External"/><Relationship Id="rId30" Type="http://schemas.openxmlformats.org/officeDocument/2006/relationships/hyperlink" Target="https://www.ncbi.nlm.nih.gov/pmc/articles/PMC4615618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Rudner</cp:lastModifiedBy>
  <cp:revision>3</cp:revision>
  <dcterms:created xsi:type="dcterms:W3CDTF">2022-02-04T20:05:00Z</dcterms:created>
  <dcterms:modified xsi:type="dcterms:W3CDTF">2022-02-04T20:08:00Z</dcterms:modified>
</cp:coreProperties>
</file>