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University of Pittsburgh</w:t>
      </w:r>
    </w:p>
    <w:p>
      <w:pPr>
        <w:pStyle w:val="InstitutionInfo"/>
      </w:pPr>
      <w:r>
        <w:t>Pittsburgh PA</w:t>
      </w:r>
    </w:p>
    <w:p>
      <w:pPr>
        <w:pStyle w:val="InstitutionInfo"/>
      </w:pPr>
      <w:r>
        <w:t>Corresponding Faculty Member: Kristen  Butela  (kab340@pitt.edu)</w:t>
      </w:r>
      <w:r>
        <w:br/>
      </w:r>
    </w:p>
    <w:p>
      <w:pPr>
        <w:pStyle w:val="AbsTitle"/>
      </w:pPr>
      <w:r>
        <w:t>The genetic diversity of Gordonia phages may offer insights into the mechanisms that control viral host range</w:t>
      </w:r>
    </w:p>
    <w:p>
      <w:pPr>
        <w:pStyle w:val="AbsAuthors"/>
      </w:pPr>
      <w:r>
        <w:rPr>
          <w:b w:val="0"/>
        </w:rPr>
        <w:t>2020-21 Pitt SEA-PHAGES Students</w:t>
      </w:r>
      <w:r>
        <w:rPr>
          <w:b w:val="0"/>
        </w:rPr>
        <w:t xml:space="preserve">, </w:t>
      </w:r>
      <w:r>
        <w:rPr>
          <w:b w:val="0"/>
        </w:rPr>
        <w:t>Ping An</w:t>
      </w:r>
      <w:r>
        <w:rPr>
          <w:b w:val="0"/>
        </w:rPr>
        <w:t xml:space="preserve">, </w:t>
      </w:r>
      <w:r>
        <w:rPr>
          <w:b w:val="0"/>
        </w:rPr>
        <w:t>Meredith Barbieri</w:t>
      </w:r>
      <w:r>
        <w:rPr>
          <w:b w:val="0"/>
        </w:rPr>
        <w:t xml:space="preserve">, </w:t>
      </w:r>
      <w:r>
        <w:rPr>
          <w:b w:val="0"/>
        </w:rPr>
        <w:t>Meghan Bechman</w:t>
      </w:r>
      <w:r>
        <w:rPr>
          <w:b w:val="0"/>
        </w:rPr>
        <w:t xml:space="preserve">, </w:t>
      </w:r>
      <w:r>
        <w:rPr>
          <w:b w:val="0"/>
        </w:rPr>
        <w:t>Rebecca Bortz</w:t>
      </w:r>
      <w:r>
        <w:rPr>
          <w:b w:val="0"/>
        </w:rPr>
        <w:t xml:space="preserve">, </w:t>
      </w:r>
      <w:r>
        <w:rPr>
          <w:b w:val="0"/>
        </w:rPr>
        <w:t>Kristen Butela</w:t>
      </w:r>
      <w:r>
        <w:rPr>
          <w:b w:val="0"/>
        </w:rPr>
        <w:t xml:space="preserve">, </w:t>
      </w:r>
      <w:r>
        <w:rPr>
          <w:b w:val="0"/>
        </w:rPr>
        <w:t>Aimee Danley</w:t>
      </w:r>
      <w:r>
        <w:rPr>
          <w:b w:val="0"/>
        </w:rPr>
        <w:t xml:space="preserve">, </w:t>
      </w:r>
      <w:r>
        <w:rPr>
          <w:b w:val="0"/>
        </w:rPr>
        <w:t>Sean Gess</w:t>
      </w:r>
      <w:r>
        <w:rPr>
          <w:b w:val="0"/>
        </w:rPr>
        <w:t xml:space="preserve">, </w:t>
      </w:r>
      <w:r>
        <w:rPr>
          <w:b w:val="0"/>
        </w:rPr>
        <w:t>Jennifer Grousd</w:t>
      </w:r>
      <w:r>
        <w:rPr>
          <w:b w:val="0"/>
        </w:rPr>
        <w:t xml:space="preserve">, </w:t>
      </w:r>
      <w:r>
        <w:rPr>
          <w:b w:val="0"/>
        </w:rPr>
        <w:t>Brenda Hammer</w:t>
      </w:r>
      <w:r>
        <w:rPr>
          <w:b w:val="0"/>
        </w:rPr>
        <w:t xml:space="preserve">, </w:t>
      </w:r>
      <w:r>
        <w:rPr>
          <w:b w:val="0"/>
        </w:rPr>
        <w:t>Nicole McAllister</w:t>
      </w:r>
      <w:r>
        <w:rPr>
          <w:b w:val="0"/>
        </w:rPr>
        <w:t xml:space="preserve">, </w:t>
      </w:r>
      <w:r>
        <w:rPr>
          <w:b w:val="0"/>
        </w:rPr>
        <w:t>Aparna Nigam</w:t>
      </w:r>
      <w:r>
        <w:rPr>
          <w:b w:val="0"/>
        </w:rPr>
        <w:t xml:space="preserve">, </w:t>
      </w:r>
      <w:r>
        <w:rPr>
          <w:b w:val="0"/>
        </w:rPr>
        <w:t>Ruth Orr</w:t>
      </w:r>
      <w:r>
        <w:rPr>
          <w:b w:val="0"/>
        </w:rPr>
        <w:t xml:space="preserve">, </w:t>
      </w:r>
      <w:r>
        <w:rPr>
          <w:b w:val="0"/>
        </w:rPr>
        <w:t>Jessica Robertson</w:t>
      </w:r>
      <w:r>
        <w:rPr>
          <w:b w:val="0"/>
        </w:rPr>
        <w:t xml:space="preserve">, </w:t>
      </w:r>
      <w:r>
        <w:rPr>
          <w:b w:val="0"/>
        </w:rPr>
        <w:t>Scott Stuckman</w:t>
      </w:r>
      <w:r>
        <w:rPr>
          <w:b w:val="0"/>
        </w:rPr>
        <w:t xml:space="preserve">, </w:t>
      </w:r>
      <w:r>
        <w:rPr>
          <w:b w:val="0"/>
        </w:rPr>
        <w:t>Marcie Warner</w:t>
      </w:r>
    </w:p>
    <w:p>
      <w:pPr>
        <w:pStyle w:val="AbsText"/>
      </w:pPr>
      <w:r>
        <w:t xml:space="preserve">The collection of over 18,000 actinobacteriophages, with 3700 of these being sequenced, can reveal insights into phage diversity and evolution. The 2020-2021 student cohort of phagehunters at the University of Pittsburgh isolated 135 phages from environmental samples using the host </w:t>
      </w:r>
      <w:r>
        <w:rPr>
          <w:i/>
        </w:rPr>
        <w:t>Gordonia terrae</w:t>
      </w:r>
      <w:r>
        <w:t xml:space="preserve"> 3612, contributing to the overall total of over 2200 phages isolated on </w:t>
      </w:r>
      <w:r>
        <w:rPr>
          <w:i/>
        </w:rPr>
        <w:t>Gordonia</w:t>
      </w:r>
      <w:r>
        <w:t xml:space="preserve"> hosts. The genomes of 28 of these phages were sequenced, adding to the existing collection of 548 sequenced </w:t>
      </w:r>
      <w:r>
        <w:rPr>
          <w:i/>
        </w:rPr>
        <w:t>Gordonia</w:t>
      </w:r>
      <w:r>
        <w:t xml:space="preserve"> phages. These phage genomes are characteristically mosaic and span considerable genomic diversity, being assigned to 15 extant clusters (A [1], CR [2], CS [2], CT [1], CV [4], CY [3], CZ [6], DA [1], DB [1], DE [3], DG [1], DI [1], DN [1], DY [1]). Phages isolated during the 20-21 academic year differ in genome length ranging from 40,547 bp (Tarzan, Cluster DY) to 75,886 bp (Lizzo, Cluster CS), and G+C% content, ranging from 59% (Lizzo, Cluster CS) to 68.3% (Hans, Cluster DE; </w:t>
      </w:r>
      <w:r>
        <w:rPr>
          <w:i/>
        </w:rPr>
        <w:t>G. terrae</w:t>
      </w:r>
      <w:r>
        <w:t xml:space="preserve"> is 67.8%).</w:t>
        <w:br/>
        <w:br/>
        <w:t xml:space="preserve">In light of the SARS-CoV-2 pandemic, exploration of the mechanisms that control the expansion of viral host range is a critical area of biology that merits further exploration.  20-21 Pitt students sought to address this subject by examining the ability of phages from a variety of clusters to infect several additional </w:t>
      </w:r>
      <w:r>
        <w:rPr>
          <w:i/>
        </w:rPr>
        <w:t>Gordonia</w:t>
      </w:r>
      <w:r>
        <w:t xml:space="preserve"> species other than </w:t>
      </w:r>
      <w:r>
        <w:rPr>
          <w:i/>
        </w:rPr>
        <w:t>G. terrae</w:t>
      </w:r>
      <w:r>
        <w:t xml:space="preserve"> (in order of nucleotide similarity to </w:t>
      </w:r>
      <w:r>
        <w:rPr>
          <w:i/>
        </w:rPr>
        <w:t>G. terrae</w:t>
      </w:r>
      <w:r>
        <w:t xml:space="preserve">: </w:t>
      </w:r>
      <w:r>
        <w:rPr>
          <w:i/>
        </w:rPr>
        <w:t>G. lacunae</w:t>
      </w:r>
      <w:r>
        <w:t xml:space="preserve">, </w:t>
      </w:r>
      <w:r>
        <w:rPr>
          <w:i/>
        </w:rPr>
        <w:t>G. westfalica</w:t>
      </w:r>
      <w:r>
        <w:t xml:space="preserve">, and </w:t>
      </w:r>
      <w:r>
        <w:rPr>
          <w:i/>
        </w:rPr>
        <w:t>G. rubripertincta</w:t>
      </w:r>
      <w:r>
        <w:t xml:space="preserve">).  Phage Leroy (cluster DN) was not able to infect any of the additional </w:t>
      </w:r>
      <w:r>
        <w:rPr>
          <w:i/>
        </w:rPr>
        <w:t>Gordonia sp</w:t>
      </w:r>
      <w:r>
        <w:t xml:space="preserve"> hosts.  Phages Jalammah (CV) and Floral (CY1) were only able to infect </w:t>
      </w:r>
      <w:r>
        <w:rPr>
          <w:i/>
        </w:rPr>
        <w:t>G. rupripertincta</w:t>
      </w:r>
      <w:r>
        <w:t xml:space="preserve"> at a substantially reduced efficiency when compared to infection of </w:t>
      </w:r>
      <w:r>
        <w:rPr>
          <w:i/>
        </w:rPr>
        <w:t>G. terrae</w:t>
      </w:r>
      <w:r>
        <w:t xml:space="preserve">.  Two cluster CZ phages (Alum E [CZ1] and Gizermo [CZ2]) were able to infect both </w:t>
      </w:r>
      <w:r>
        <w:rPr>
          <w:i/>
        </w:rPr>
        <w:t>G. rubripertincta</w:t>
      </w:r>
      <w:r>
        <w:t xml:space="preserve"> and </w:t>
      </w:r>
      <w:r>
        <w:rPr>
          <w:i/>
        </w:rPr>
        <w:t>G. lacunae</w:t>
      </w:r>
      <w:r>
        <w:t xml:space="preserve">, whereas phage AikoCarson (CT) was able to infect all three alternate </w:t>
      </w:r>
      <w:r>
        <w:rPr>
          <w:i/>
        </w:rPr>
        <w:t>Gordonia sp</w:t>
      </w:r>
      <w:r>
        <w:t xml:space="preserve"> hosts at a reduced, but substantial, efficiency when compared to infection of </w:t>
      </w:r>
      <w:r>
        <w:rPr>
          <w:i/>
        </w:rPr>
        <w:t>G. terrae</w:t>
      </w:r>
      <w:r>
        <w:t>.  This diverse pattern of host infection profiles suggest viral host range is controlled a complex array of factors.  Comparison of the genetic content of these phages may shed light on common genetic factors and mutations that influence host range.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