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11th Annual SEA Symposium Abstract</w:t>
      </w:r>
    </w:p>
    <w:p>
      <w:pPr>
        <w:pStyle w:val="InstitutionInfo"/>
      </w:pPr>
      <w:r>
        <w:t>University of Southern Mississippi</w:t>
      </w:r>
    </w:p>
    <w:p>
      <w:pPr>
        <w:pStyle w:val="InstitutionInfo"/>
      </w:pPr>
      <w:r>
        <w:t>Hattiesburg MS</w:t>
      </w:r>
    </w:p>
    <w:p>
      <w:pPr>
        <w:pStyle w:val="InstitutionInfo"/>
      </w:pPr>
      <w:r>
        <w:t>Corresponding Faculty Member: Dmitri Mavrodi  (dmitri.mavrodi@usm.edu)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367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MS_Underwood_Head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679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Savannah Underwood</w:t>
      </w:r>
    </w:p>
    <w:p>
      <w:pPr>
        <w:pStyle w:val="AbsTitle"/>
      </w:pPr>
      <w:r>
        <w:t>Functional analysis of conserved hypothetical genes in the cluster K bacteriophage Hammy</w:t>
      </w:r>
    </w:p>
    <w:p>
      <w:pPr>
        <w:pStyle w:val="AbsAuthors"/>
      </w:pPr>
      <w:r>
        <w:t>Savannah Underwood</w:t>
      </w:r>
      <w:r>
        <w:rPr>
          <w:b w:val="0"/>
        </w:rPr>
        <w:t xml:space="preserve">, </w:t>
      </w:r>
      <w:r>
        <w:rPr>
          <w:b w:val="0"/>
        </w:rPr>
        <w:t>Amber Coats</w:t>
      </w:r>
      <w:r>
        <w:rPr>
          <w:b w:val="0"/>
        </w:rPr>
        <w:t xml:space="preserve">, </w:t>
      </w:r>
      <w:r>
        <w:rPr>
          <w:b w:val="0"/>
        </w:rPr>
        <w:t>Sara Dao</w:t>
      </w:r>
      <w:r>
        <w:rPr>
          <w:b w:val="0"/>
        </w:rPr>
        <w:t xml:space="preserve">, </w:t>
      </w:r>
      <w:r>
        <w:rPr>
          <w:b w:val="0"/>
        </w:rPr>
        <w:t>Grace Dittmar</w:t>
      </w:r>
      <w:r>
        <w:rPr>
          <w:b w:val="0"/>
        </w:rPr>
        <w:t xml:space="preserve">, </w:t>
      </w:r>
      <w:r>
        <w:rPr>
          <w:b w:val="0"/>
        </w:rPr>
        <w:t>J.C. Gardner</w:t>
      </w:r>
      <w:r>
        <w:rPr>
          <w:b w:val="0"/>
        </w:rPr>
        <w:t xml:space="preserve">, </w:t>
      </w:r>
      <w:r>
        <w:rPr>
          <w:b w:val="0"/>
        </w:rPr>
        <w:t>Taylor Gore</w:t>
      </w:r>
      <w:r>
        <w:rPr>
          <w:b w:val="0"/>
        </w:rPr>
        <w:t xml:space="preserve">, </w:t>
      </w:r>
      <w:r>
        <w:rPr>
          <w:b w:val="0"/>
        </w:rPr>
        <w:t>Taiya Jarva</w:t>
      </w:r>
      <w:r>
        <w:rPr>
          <w:b w:val="0"/>
        </w:rPr>
        <w:t xml:space="preserve">, </w:t>
      </w:r>
      <w:r>
        <w:rPr>
          <w:b w:val="0"/>
        </w:rPr>
        <w:t>Kathleen Johnson</w:t>
      </w:r>
      <w:r>
        <w:rPr>
          <w:b w:val="0"/>
        </w:rPr>
        <w:t xml:space="preserve">, </w:t>
      </w:r>
      <w:r>
        <w:rPr>
          <w:b w:val="0"/>
        </w:rPr>
        <w:t>Giorgi Kenkebashvili</w:t>
      </w:r>
      <w:r>
        <w:rPr>
          <w:b w:val="0"/>
        </w:rPr>
        <w:t xml:space="preserve">, </w:t>
      </w:r>
      <w:r>
        <w:rPr>
          <w:b w:val="0"/>
        </w:rPr>
        <w:t>Sudiksha Kumar</w:t>
      </w:r>
      <w:r>
        <w:rPr>
          <w:b w:val="0"/>
        </w:rPr>
        <w:t xml:space="preserve">, </w:t>
      </w:r>
      <w:r>
        <w:rPr>
          <w:b w:val="0"/>
        </w:rPr>
        <w:t>Jasmine Ransom</w:t>
      </w:r>
      <w:r>
        <w:rPr>
          <w:b w:val="0"/>
        </w:rPr>
        <w:t xml:space="preserve">, </w:t>
      </w:r>
      <w:r>
        <w:rPr>
          <w:b w:val="0"/>
        </w:rPr>
        <w:t>Gabriella Reyes</w:t>
      </w:r>
      <w:r>
        <w:rPr>
          <w:b w:val="0"/>
        </w:rPr>
        <w:t xml:space="preserve">, </w:t>
      </w:r>
      <w:r>
        <w:rPr>
          <w:b w:val="0"/>
        </w:rPr>
        <w:t>Chazmyn Riley</w:t>
      </w:r>
      <w:r>
        <w:rPr>
          <w:b w:val="0"/>
        </w:rPr>
        <w:t xml:space="preserve">, </w:t>
      </w:r>
      <w:r>
        <w:rPr>
          <w:b w:val="0"/>
        </w:rPr>
        <w:t>Daniel Sinclair</w:t>
      </w:r>
      <w:r>
        <w:rPr>
          <w:b w:val="0"/>
        </w:rPr>
        <w:t xml:space="preserve">, </w:t>
      </w:r>
      <w:r>
        <w:rPr>
          <w:b w:val="0"/>
        </w:rPr>
        <w:t>Breanna Smith</w:t>
      </w:r>
      <w:r>
        <w:rPr>
          <w:b w:val="0"/>
        </w:rPr>
        <w:t xml:space="preserve">, </w:t>
      </w:r>
      <w:r>
        <w:rPr>
          <w:b w:val="0"/>
        </w:rPr>
        <w:t>Audra Thompson</w:t>
      </w:r>
      <w:r>
        <w:rPr>
          <w:b w:val="0"/>
        </w:rPr>
        <w:t xml:space="preserve">, </w:t>
      </w:r>
      <w:r>
        <w:rPr>
          <w:b w:val="0"/>
        </w:rPr>
        <w:t>Garrett Watts</w:t>
      </w:r>
      <w:r>
        <w:rPr>
          <w:b w:val="0"/>
        </w:rPr>
        <w:t xml:space="preserve">, </w:t>
      </w:r>
      <w:r>
        <w:rPr>
          <w:b w:val="0"/>
        </w:rPr>
        <w:t>Victoria Williams</w:t>
      </w:r>
      <w:r>
        <w:rPr>
          <w:b w:val="0"/>
        </w:rPr>
        <w:t xml:space="preserve">, </w:t>
      </w:r>
      <w:r>
        <w:rPr>
          <w:b w:val="0"/>
        </w:rPr>
        <w:t>Clint Pablo</w:t>
      </w:r>
      <w:r>
        <w:rPr>
          <w:b w:val="0"/>
        </w:rPr>
        <w:t xml:space="preserve">, </w:t>
      </w:r>
      <w:r>
        <w:rPr>
          <w:b w:val="0"/>
        </w:rPr>
        <w:t>Danielle Heller*</w:t>
      </w:r>
      <w:r>
        <w:rPr>
          <w:b w:val="0"/>
        </w:rPr>
        <w:t xml:space="preserve">, </w:t>
      </w:r>
      <w:r>
        <w:rPr>
          <w:b w:val="0"/>
        </w:rPr>
        <w:t>Viknesh Sivanathan*</w:t>
      </w:r>
      <w:r>
        <w:rPr>
          <w:b w:val="0"/>
        </w:rPr>
        <w:t xml:space="preserve">, </w:t>
      </w:r>
      <w:r>
        <w:rPr>
          <w:b w:val="0"/>
        </w:rPr>
        <w:t>Dmitri Mavrodi</w:t>
      </w:r>
    </w:p>
    <w:p>
      <w:pPr>
        <w:pStyle w:val="moreInstitutions"/>
      </w:pPr>
      <w:r>
        <w:t>* Howard Hughes Medical Institute, Chevy Chase MD</w:t>
      </w:r>
    </w:p>
    <w:p>
      <w:pPr>
        <w:pStyle w:val="AbsText"/>
      </w:pPr>
      <w:r>
        <w:t xml:space="preserve">The genus </w:t>
      </w:r>
      <w:r>
        <w:rPr>
          <w:i/>
        </w:rPr>
        <w:t>Mycobacterium</w:t>
      </w:r>
      <w:r>
        <w:t xml:space="preserve"> encompasses diverse saprophytic and commensal species, as well as serious pathogens such as </w:t>
      </w:r>
      <w:r>
        <w:rPr>
          <w:i/>
        </w:rPr>
        <w:t>M. tuberculosis</w:t>
      </w:r>
      <w:r>
        <w:t xml:space="preserve"> and </w:t>
      </w:r>
      <w:r>
        <w:rPr>
          <w:i/>
        </w:rPr>
        <w:t>M. leprae</w:t>
      </w:r>
      <w:r>
        <w:t xml:space="preserve">. Bacteriophages play a crucial role in the evolution of mycobacteria and provide insights into the genetics and physiology of this economically important group of organisms. Mycobacteriophages also attract a lot of recent interest as potential therapeutic agents for the treatment of multidrug-resistant tuberculosis. To date, over 1,700 bacteriophages that infect </w:t>
      </w:r>
      <w:r>
        <w:rPr>
          <w:i/>
        </w:rPr>
        <w:t>Mycobacterium</w:t>
      </w:r>
      <w:r>
        <w:t xml:space="preserve"> were characterized through genome sequencing and grouped into 29 clusters based on genetic similarity. In addition to well-characterized genes that encode structural, regulatory, DNA metabolism, and lytic proteins, all mycobacteriophages genomes carry numerous conserved hypothetical genes. The specific functions of these genes remain unknown, and only a few proteins have been expressed and studied experimentally.</w:t>
        <w:br/>
        <w:br/>
        <w:t xml:space="preserve">In this study, we performed a functional analysis of Hammy, a K cluster mycobacteriophage with a 62-kb genome that encodes 95 predicted protein-coding genes. Fifty of these genes are homologous to viral proteins of known function, while the role of the remaining 45 genes is currently unknown. We employed a combination of high-fidelity PCR and Gibson assembly to clone 81 Hammy gene into the broad-host-range plasmid vector pSMEG-ExT (85% overall success rate). The resultant recombinant plasmids were electroporated into </w:t>
      </w:r>
      <w:r>
        <w:rPr>
          <w:i/>
        </w:rPr>
        <w:t>M. smegmatis</w:t>
      </w:r>
      <w:r>
        <w:t xml:space="preserve"> mc</w:t>
      </w:r>
      <w:r>
        <w:rPr>
          <w:vertAlign w:val="superscript"/>
        </w:rPr>
        <w:t>2</w:t>
      </w:r>
      <w:r>
        <w:t xml:space="preserve"> 155 and screened for cytotoxicity in the presence of the inducer anhydrotetracycline. The screen identified several cytotoxic genes, which are variably present in members of the K cluster (immediate relatives of Hammy) and other phages that infect </w:t>
      </w:r>
      <w:r>
        <w:rPr>
          <w:i/>
        </w:rPr>
        <w:t>Mycobacterium</w:t>
      </w:r>
      <w:r>
        <w:t xml:space="preserve"> and </w:t>
      </w:r>
      <w:r>
        <w:rPr>
          <w:i/>
        </w:rPr>
        <w:t>Gordonia</w:t>
      </w:r>
      <w:r>
        <w:t xml:space="preserve">. Four cytotoxic genes (32, 34, 50, and 56) were subjected to bacterial two-hybrid analysis to identify the host proteins targeted by Hammy. The two-hybrid analysis identified several </w:t>
      </w:r>
      <w:r>
        <w:rPr>
          <w:i/>
        </w:rPr>
        <w:t>M. smegmatis</w:t>
      </w:r>
      <w:r>
        <w:t xml:space="preserve"> proteins targeted by the cytotoxic gene 56. One of these targets, malate synthase, was previously identified during the two-hybrid analysis of bacteriophage ϕKMV and </w:t>
      </w:r>
      <w:r>
        <w:rPr>
          <w:i/>
        </w:rPr>
        <w:t>Pseudomonas aeruginosa</w:t>
      </w:r>
      <w:r>
        <w:t xml:space="preserve">. Results of this study will help to elucidate the role of poorly characterized viral genes in the biology of phages that infect </w:t>
      </w:r>
      <w:r>
        <w:rPr>
          <w:i/>
        </w:rPr>
        <w:t>M. smegmatis</w:t>
      </w:r>
      <w:r>
        <w:t xml:space="preserve">, </w:t>
      </w:r>
      <w:r>
        <w:rPr>
          <w:i/>
        </w:rPr>
        <w:t>M. tuberculosis</w:t>
      </w:r>
      <w:r>
        <w:t>, and closely related bacteria.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