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10th Annual SEA Symposium Abstract</w:t>
      </w:r>
    </w:p>
    <w:p>
      <w:pPr>
        <w:pStyle w:val="InstitutionInfo"/>
      </w:pPr>
      <w:r>
        <w:t>The Ohio State University</w:t>
      </w:r>
    </w:p>
    <w:p>
      <w:pPr>
        <w:pStyle w:val="InstitutionInfo"/>
      </w:pPr>
      <w:r>
        <w:t>Columbus OH</w:t>
      </w:r>
    </w:p>
    <w:p>
      <w:pPr>
        <w:pStyle w:val="InstitutionInfo"/>
      </w:pPr>
      <w:r>
        <w:t>Corresponding Faculty Member: Sarah Ball  (ball.1766@osu.edu)</w:t>
      </w:r>
      <w:r>
        <w:br/>
      </w:r>
    </w:p>
    <w:p>
      <w:r>
        <w:drawing>
          <wp:inline xmlns:a="http://schemas.openxmlformats.org/drawingml/2006/main" xmlns:pic="http://schemas.openxmlformats.org/drawingml/2006/picture">
            <wp:extent cx="914400" cy="642604"/>
            <wp:docPr id="1" name="Picture 1"/>
            <wp:cNvGraphicFramePr>
              <a:graphicFrameLocks noChangeAspect="1"/>
            </wp:cNvGraphicFramePr>
            <a:graphic>
              <a:graphicData uri="http://schemas.openxmlformats.org/drawingml/2006/picture">
                <pic:pic>
                  <pic:nvPicPr>
                    <pic:cNvPr id="0" name="TOSU_Cervelli_HeadShot.jpg"/>
                    <pic:cNvPicPr/>
                  </pic:nvPicPr>
                  <pic:blipFill>
                    <a:blip r:embed="rId9"/>
                    <a:stretch>
                      <a:fillRect/>
                    </a:stretch>
                  </pic:blipFill>
                  <pic:spPr>
                    <a:xfrm>
                      <a:off x="0" y="0"/>
                      <a:ext cx="914400" cy="642604"/>
                    </a:xfrm>
                    <a:prstGeom prst="rect"/>
                  </pic:spPr>
                </pic:pic>
              </a:graphicData>
            </a:graphic>
          </wp:inline>
        </w:drawing>
      </w:r>
    </w:p>
    <w:p>
      <w:pPr>
        <w:pStyle w:val="absCaption"/>
      </w:pPr>
      <w:r>
        <w:t>Natalie Cervelli</w:t>
      </w:r>
    </w:p>
    <w:p>
      <w:r>
        <w:drawing>
          <wp:inline xmlns:a="http://schemas.openxmlformats.org/drawingml/2006/main" xmlns:pic="http://schemas.openxmlformats.org/drawingml/2006/picture">
            <wp:extent cx="914400" cy="1212486"/>
            <wp:docPr id="2" name="Picture 2"/>
            <wp:cNvGraphicFramePr>
              <a:graphicFrameLocks noChangeAspect="1"/>
            </wp:cNvGraphicFramePr>
            <a:graphic>
              <a:graphicData uri="http://schemas.openxmlformats.org/drawingml/2006/picture">
                <pic:pic>
                  <pic:nvPicPr>
                    <pic:cNvPr id="0" name="TOSU_Najjar_HeadShot.jpg"/>
                    <pic:cNvPicPr/>
                  </pic:nvPicPr>
                  <pic:blipFill>
                    <a:blip r:embed="rId10"/>
                    <a:stretch>
                      <a:fillRect/>
                    </a:stretch>
                  </pic:blipFill>
                  <pic:spPr>
                    <a:xfrm>
                      <a:off x="0" y="0"/>
                      <a:ext cx="914400" cy="1212486"/>
                    </a:xfrm>
                    <a:prstGeom prst="rect"/>
                  </pic:spPr>
                </pic:pic>
              </a:graphicData>
            </a:graphic>
          </wp:inline>
        </w:drawing>
      </w:r>
    </w:p>
    <w:p>
      <w:pPr>
        <w:pStyle w:val="absCaption"/>
      </w:pPr>
      <w:r>
        <w:t>Dahlia Najjar</w:t>
      </w:r>
    </w:p>
    <w:p>
      <w:pPr>
        <w:pStyle w:val="AbsTitle"/>
      </w:pPr>
      <w:r>
        <w:t>Genomic Analysis of Arthrobacteriophage MargaretKali, a singleton</w:t>
      </w:r>
    </w:p>
    <w:p>
      <w:pPr>
        <w:pStyle w:val="AbsAuthors"/>
      </w:pPr>
      <w:r>
        <w:t>Natalie Cervelli</w:t>
      </w:r>
      <w:r>
        <w:rPr>
          <w:b w:val="0"/>
        </w:rPr>
        <w:t xml:space="preserve">, </w:t>
      </w:r>
      <w:r>
        <w:t>Dahlia Najjar</w:t>
      </w:r>
      <w:r>
        <w:rPr>
          <w:b w:val="0"/>
        </w:rPr>
        <w:t xml:space="preserve">, </w:t>
      </w:r>
      <w:r>
        <w:rPr>
          <w:b w:val="0"/>
        </w:rPr>
        <w:t>Sarah Ball</w:t>
      </w:r>
      <w:r>
        <w:rPr>
          <w:b w:val="0"/>
        </w:rPr>
        <w:t xml:space="preserve">, </w:t>
      </w:r>
      <w:r>
        <w:rPr>
          <w:b w:val="0"/>
        </w:rPr>
        <w:t>Caroline Breitenberger</w:t>
      </w:r>
      <w:r>
        <w:rPr>
          <w:b w:val="0"/>
        </w:rPr>
        <w:t xml:space="preserve">, </w:t>
      </w:r>
      <w:r>
        <w:rPr>
          <w:b w:val="0"/>
        </w:rPr>
        <w:t>Charles  Daniels</w:t>
      </w:r>
    </w:p>
    <w:p>
      <w:pPr>
        <w:pStyle w:val="AbsText"/>
      </w:pPr>
      <w:r>
        <w:t>Students at The Ohio State University have been participating in SEA-PHAGES since 2011.  During fall semester 2017, we isolated our first singleton, MargaretKali, using Arthrobacter sp. ATCC21022 as the host. The 39,448 base-pair MargaretKali genome has a 61.1 % GC content, which is slightly lower than that of the host’s genome (63.4 %), and 69 predicted open reading frames, of which 29.5 % are orphams.  A putative tyrosine-integrase was identified, suggesting MargaretKali may be a temperate phage.  This is further supported by the fact that many predicted gene products had BLASTP hits corresponding to open reading frames in several different Actinobacteria genera, some of which could represent prophages.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