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Old Dominion University</w:t>
      </w:r>
    </w:p>
    <w:p>
      <w:pPr>
        <w:pStyle w:val="InstitutionInfo"/>
      </w:pPr>
      <w:r>
        <w:t>Norfolk VA</w:t>
      </w:r>
    </w:p>
    <w:p>
      <w:pPr>
        <w:pStyle w:val="InstitutionInfo"/>
      </w:pPr>
      <w:r>
        <w:t>Corresponding Faculty Member: Nazir Barekzi  (nbarekzi@odu.edu)</w:t>
      </w:r>
      <w:r>
        <w:br/>
      </w:r>
    </w:p>
    <w:p>
      <w:r>
        <w:drawing>
          <wp:inline xmlns:a="http://schemas.openxmlformats.org/drawingml/2006/main" xmlns:pic="http://schemas.openxmlformats.org/drawingml/2006/picture">
            <wp:extent cx="914400" cy="1001917"/>
            <wp:docPr id="1" name="Picture 1"/>
            <wp:cNvGraphicFramePr>
              <a:graphicFrameLocks noChangeAspect="1"/>
            </wp:cNvGraphicFramePr>
            <a:graphic>
              <a:graphicData uri="http://schemas.openxmlformats.org/drawingml/2006/picture">
                <pic:pic>
                  <pic:nvPicPr>
                    <pic:cNvPr id="0" name="OLDU_Hahn_HeadShot.jpg"/>
                    <pic:cNvPicPr/>
                  </pic:nvPicPr>
                  <pic:blipFill>
                    <a:blip r:embed="rId9"/>
                    <a:stretch>
                      <a:fillRect/>
                    </a:stretch>
                  </pic:blipFill>
                  <pic:spPr>
                    <a:xfrm>
                      <a:off x="0" y="0"/>
                      <a:ext cx="914400" cy="1001917"/>
                    </a:xfrm>
                    <a:prstGeom prst="rect"/>
                  </pic:spPr>
                </pic:pic>
              </a:graphicData>
            </a:graphic>
          </wp:inline>
        </w:drawing>
      </w:r>
    </w:p>
    <w:p>
      <w:pPr>
        <w:pStyle w:val="absCaption"/>
      </w:pPr>
      <w:r>
        <w:t>Delilah Hahn</w:t>
      </w:r>
    </w:p>
    <w:p>
      <w:pPr>
        <w:pStyle w:val="AbsTitle"/>
      </w:pPr>
      <w:r>
        <w:t>Host range project: Investigating if phage isolated from Mycobacterium smegmatis can infect pathogens of fish, amphibians and humans</w:t>
      </w:r>
    </w:p>
    <w:p>
      <w:pPr>
        <w:pStyle w:val="AbsAuthors"/>
      </w:pPr>
      <w:r>
        <w:t>Delilah Hahn</w:t>
      </w:r>
      <w:r>
        <w:rPr>
          <w:b w:val="0"/>
        </w:rPr>
        <w:t xml:space="preserve">, </w:t>
      </w:r>
      <w:r>
        <w:rPr>
          <w:b w:val="0"/>
        </w:rPr>
        <w:t>Ryan Kilduff</w:t>
      </w:r>
      <w:r>
        <w:rPr>
          <w:b w:val="0"/>
        </w:rPr>
        <w:t xml:space="preserve">, </w:t>
      </w:r>
      <w:r>
        <w:rPr>
          <w:b w:val="0"/>
        </w:rPr>
        <w:t>Nazir Barekzi</w:t>
      </w:r>
    </w:p>
    <w:p>
      <w:pPr>
        <w:pStyle w:val="AbsText"/>
      </w:pPr>
      <w:r>
        <w:t xml:space="preserve">Over 10,000 bacteriophages have been collected and submitted to the Actinobacteriophage Database. Among those, over 1000 have been sequenced through the SEA-PHAGES program. At ODU, we have been participating in the Host Range Project: SEA-PHAGES 2016-2017 to test whether a collection of phages can infect a host other than </w:t>
      </w:r>
      <w:r>
        <w:rPr>
          <w:i/>
        </w:rPr>
        <w:t>Mycobacterium smegmatis</w:t>
      </w:r>
      <w:r>
        <w:t xml:space="preserve"> mc</w:t>
      </w:r>
      <w:r>
        <w:rPr>
          <w:vertAlign w:val="superscript"/>
        </w:rPr>
        <w:t>2</w:t>
      </w:r>
      <w:r>
        <w:t xml:space="preserve"> 155. Host range studies are relevant in understanding the process of phage infection and the potential use of a single phage against multiple bacteria in phage therapy.</w:t>
        <w:br/>
        <w:br/>
        <w:t xml:space="preserve">We received 30 mycobacteriophage lysates from the archives at University of Pittsburgh and used 5 phages isolated at ODU in this study. In order to determine if bacteriophage have more than one host, a collection of 35 phages have been investigated to determine if these phage have a broad host range. Originally, all of the phages were isolated with </w:t>
      </w:r>
      <w:r>
        <w:rPr>
          <w:i/>
        </w:rPr>
        <w:t>Mycobacterium smegmatis</w:t>
      </w:r>
      <w:r>
        <w:t xml:space="preserve"> mc</w:t>
      </w:r>
      <w:r>
        <w:rPr>
          <w:vertAlign w:val="superscript"/>
        </w:rPr>
        <w:t>2</w:t>
      </w:r>
      <w:r>
        <w:t xml:space="preserve"> 155.</w:t>
        <w:br/>
        <w:br/>
        <w:t xml:space="preserve">The goal of this project was to determine if phage have a broad host range by testing each phage on different bacterial hosts within the Actinobacteria phylum. In total, thirty five phage and eight different bacterial hosts that are human and fish pathogens were investigated: </w:t>
      </w:r>
      <w:r>
        <w:rPr>
          <w:i/>
        </w:rPr>
        <w:t>Mycobacterium smegmatis</w:t>
      </w:r>
      <w:r>
        <w:t xml:space="preserve"> mc</w:t>
      </w:r>
      <w:r>
        <w:rPr>
          <w:vertAlign w:val="superscript"/>
        </w:rPr>
        <w:t>2</w:t>
      </w:r>
      <w:r>
        <w:t xml:space="preserve"> 155, </w:t>
      </w:r>
      <w:r>
        <w:rPr>
          <w:i/>
        </w:rPr>
        <w:t>M. smegmatis</w:t>
      </w:r>
      <w:r>
        <w:t xml:space="preserve"> NSC 3240, </w:t>
      </w:r>
      <w:r>
        <w:rPr>
          <w:i/>
        </w:rPr>
        <w:t>M. fortuitum</w:t>
      </w:r>
      <w:r>
        <w:t xml:space="preserve"> M5, </w:t>
      </w:r>
      <w:r>
        <w:rPr>
          <w:i/>
        </w:rPr>
        <w:t>M. fortuitum</w:t>
      </w:r>
      <w:r>
        <w:t xml:space="preserve"> M6, </w:t>
      </w:r>
      <w:r>
        <w:rPr>
          <w:i/>
        </w:rPr>
        <w:t>M. chelonae</w:t>
      </w:r>
      <w:r>
        <w:t xml:space="preserve"> M3, </w:t>
      </w:r>
      <w:r>
        <w:rPr>
          <w:i/>
        </w:rPr>
        <w:t>M. chelonae</w:t>
      </w:r>
      <w:r>
        <w:t xml:space="preserve"> 324-818, </w:t>
      </w:r>
      <w:r>
        <w:rPr>
          <w:i/>
        </w:rPr>
        <w:t>M. marinum</w:t>
      </w:r>
      <w:r>
        <w:t xml:space="preserve"> ATCC 927, and </w:t>
      </w:r>
      <w:r>
        <w:rPr>
          <w:i/>
        </w:rPr>
        <w:t>M. marinum</w:t>
      </w:r>
      <w:r>
        <w:t xml:space="preserve"> M30-01. To test the broad host range infectivity, serial dilutions of each isolated bacteriophage were prepared, followed by spot tests of 3-5 ul of each dilution on a nutrient agar plate containing a bacterial lawn made from each strain.</w:t>
        <w:br/>
        <w:br/>
        <w:t xml:space="preserve">Subsequently, the plates were incubated at 30°C and observed for the presence of plaques or zones of clearing. The results revealed that in addition to infecting </w:t>
      </w:r>
      <w:r>
        <w:rPr>
          <w:i/>
        </w:rPr>
        <w:t>M. smegmatis</w:t>
      </w:r>
      <w:r>
        <w:t xml:space="preserve"> mc</w:t>
      </w:r>
      <w:r>
        <w:rPr>
          <w:vertAlign w:val="superscript"/>
        </w:rPr>
        <w:t>2</w:t>
      </w:r>
      <w:r>
        <w:t xml:space="preserve"> 155, at least eleven phage were able to also infect </w:t>
      </w:r>
      <w:r>
        <w:rPr>
          <w:i/>
        </w:rPr>
        <w:t>M. smegmatis</w:t>
      </w:r>
      <w:r>
        <w:t xml:space="preserve"> NSC 3240, at least two phage infected </w:t>
      </w:r>
      <w:r>
        <w:rPr>
          <w:i/>
        </w:rPr>
        <w:t>M. fortuitum</w:t>
      </w:r>
      <w:r>
        <w:t xml:space="preserve"> M5, and one phage (BxB1) infected </w:t>
      </w:r>
      <w:r>
        <w:rPr>
          <w:i/>
        </w:rPr>
        <w:t>M. fortuitum</w:t>
      </w:r>
      <w:r>
        <w:t xml:space="preserve"> M6. The titers of the phage and the efficiency of infection was calculated using the phage titers from </w:t>
      </w:r>
      <w:r>
        <w:rPr>
          <w:i/>
        </w:rPr>
        <w:t>M. smegmatis</w:t>
      </w:r>
      <w:r>
        <w:t xml:space="preserve"> mc</w:t>
      </w:r>
      <w:r>
        <w:rPr>
          <w:vertAlign w:val="superscript"/>
        </w:rPr>
        <w:t>2</w:t>
      </w:r>
      <w:r>
        <w:t xml:space="preserve"> 155 as the control. These findings indicate that some bacteriophage isolated on </w:t>
      </w:r>
      <w:r>
        <w:rPr>
          <w:i/>
        </w:rPr>
        <w:t>M. smegmatis</w:t>
      </w:r>
      <w:r>
        <w:t xml:space="preserve"> mc</w:t>
      </w:r>
      <w:r>
        <w:rPr>
          <w:vertAlign w:val="superscript"/>
        </w:rPr>
        <w:t>2</w:t>
      </w:r>
      <w:r>
        <w:t xml:space="preserve"> 155 can infect related species of bacteria and have a broader host range than originally thought. However, the range of hosts may be limited due to the genomic composition and evolution of each distinct phage.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