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University of Ottawa</w:t>
      </w:r>
    </w:p>
    <w:p>
      <w:pPr>
        <w:pStyle w:val="InstitutionInfo"/>
      </w:pPr>
      <w:r>
        <w:t xml:space="preserve">Ottawa </w:t>
      </w:r>
    </w:p>
    <w:p>
      <w:pPr>
        <w:pStyle w:val="InstitutionInfo"/>
      </w:pPr>
      <w:r>
        <w:t>Corresponding Faculty Member: Adam Rudner  (arudner@uottawa.ca)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67939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OTT_Wood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79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Emily Wood</w:t>
      </w:r>
    </w:p>
    <w:p>
      <w:pPr>
        <w:pStyle w:val="AbsTitle"/>
      </w:pPr>
      <w:r>
        <w:t>Identifying the blank space in Streptomyces bacteriophages Superstar and Rideau</w:t>
      </w:r>
    </w:p>
    <w:p>
      <w:pPr>
        <w:pStyle w:val="AbsAuthors"/>
      </w:pPr>
      <w:r>
        <w:t>Emily Wood</w:t>
      </w:r>
      <w:r>
        <w:rPr>
          <w:b w:val="0"/>
        </w:rPr>
        <w:t xml:space="preserve">, </w:t>
      </w:r>
      <w:r>
        <w:t>Huy K Nguyen</w:t>
      </w:r>
      <w:r>
        <w:rPr>
          <w:b w:val="0"/>
        </w:rPr>
        <w:t xml:space="preserve">, </w:t>
      </w:r>
      <w:r>
        <w:t>Ali A Abdalbari</w:t>
      </w:r>
      <w:r>
        <w:rPr>
          <w:b w:val="0"/>
        </w:rPr>
        <w:t xml:space="preserve">, </w:t>
      </w:r>
      <w:r>
        <w:t>Ryan A Chan</w:t>
      </w:r>
      <w:r>
        <w:rPr>
          <w:b w:val="0"/>
        </w:rPr>
        <w:t xml:space="preserve">, </w:t>
      </w:r>
      <w:r>
        <w:t>Joyce Lu</w:t>
      </w:r>
      <w:r>
        <w:rPr>
          <w:b w:val="0"/>
        </w:rPr>
        <w:t xml:space="preserve">, </w:t>
      </w:r>
      <w:r>
        <w:t>Emma C Mahoney</w:t>
      </w:r>
      <w:r>
        <w:rPr>
          <w:b w:val="0"/>
        </w:rPr>
        <w:t xml:space="preserve">, </w:t>
      </w:r>
      <w:r>
        <w:t>Ernest Ngou</w:t>
      </w:r>
      <w:r>
        <w:rPr>
          <w:b w:val="0"/>
        </w:rPr>
        <w:t xml:space="preserve">, </w:t>
      </w:r>
      <w:r>
        <w:t>Ashlyn Nguyen</w:t>
      </w:r>
      <w:r>
        <w:rPr>
          <w:b w:val="0"/>
        </w:rPr>
        <w:t xml:space="preserve">, </w:t>
      </w:r>
      <w:r>
        <w:t>Natasha Trehan</w:t>
      </w:r>
      <w:r>
        <w:rPr>
          <w:b w:val="0"/>
        </w:rPr>
        <w:t xml:space="preserve">, </w:t>
      </w:r>
      <w:r>
        <w:t>Tracy S Xie</w:t>
      </w:r>
      <w:r>
        <w:rPr>
          <w:b w:val="0"/>
        </w:rPr>
        <w:t xml:space="preserve">, </w:t>
      </w:r>
      <w:r>
        <w:t>Josh A Zeldin</w:t>
      </w:r>
      <w:r>
        <w:rPr>
          <w:b w:val="0"/>
        </w:rPr>
        <w:t xml:space="preserve">, </w:t>
      </w:r>
      <w:r>
        <w:rPr>
          <w:b w:val="0"/>
        </w:rPr>
        <w:t>Alex Yang</w:t>
      </w:r>
      <w:r>
        <w:rPr>
          <w:b w:val="0"/>
        </w:rPr>
        <w:t xml:space="preserve">, </w:t>
      </w:r>
      <w:r>
        <w:rPr>
          <w:b w:val="0"/>
        </w:rPr>
        <w:t>Zachary J Mitchell</w:t>
      </w:r>
      <w:r>
        <w:rPr>
          <w:b w:val="0"/>
        </w:rPr>
        <w:t xml:space="preserve">, </w:t>
      </w:r>
      <w:r>
        <w:rPr>
          <w:b w:val="0"/>
        </w:rPr>
        <w:t>Sezgi Salbas</w:t>
      </w:r>
      <w:r>
        <w:rPr>
          <w:b w:val="0"/>
        </w:rPr>
        <w:t xml:space="preserve">, </w:t>
      </w:r>
      <w:r>
        <w:rPr>
          <w:b w:val="0"/>
        </w:rPr>
        <w:t>Elizabeth C Williams</w:t>
      </w:r>
      <w:r>
        <w:rPr>
          <w:b w:val="0"/>
        </w:rPr>
        <w:t xml:space="preserve">, </w:t>
      </w:r>
      <w:r>
        <w:rPr>
          <w:b w:val="0"/>
        </w:rPr>
        <w:t>Katia H Koziel Ly</w:t>
      </w:r>
      <w:r>
        <w:rPr>
          <w:b w:val="0"/>
        </w:rPr>
        <w:t xml:space="preserve">, </w:t>
      </w:r>
      <w:r>
        <w:rPr>
          <w:b w:val="0"/>
        </w:rPr>
        <w:t>Kin Chan</w:t>
      </w:r>
      <w:r>
        <w:rPr>
          <w:b w:val="0"/>
        </w:rPr>
        <w:t xml:space="preserve">, </w:t>
      </w:r>
      <w:r>
        <w:rPr>
          <w:b w:val="0"/>
        </w:rPr>
        <w:t>Adam D Rudner</w:t>
      </w:r>
    </w:p>
    <w:p>
      <w:pPr>
        <w:pStyle w:val="AbsText"/>
      </w:pPr>
      <w:r>
        <w:t xml:space="preserve">The genus </w:t>
      </w:r>
      <w:r>
        <w:rPr>
          <w:i/>
        </w:rPr>
        <w:t>Streptomyces</w:t>
      </w:r>
      <w:r>
        <w:t xml:space="preserve"> are soil-dwelling bacteria known for their production of a variety of chemically diverse metabolites, commonly used in agricultural and clinical industries. Unlike most other Actinobacteria, </w:t>
      </w:r>
      <w:r>
        <w:rPr>
          <w:i/>
        </w:rPr>
        <w:t>Streptomyces</w:t>
      </w:r>
      <w:r>
        <w:t xml:space="preserve"> produce hyphae that septate to form unigenomic spores. Phages preferentially infect early during the </w:t>
      </w:r>
      <w:r>
        <w:rPr>
          <w:i/>
        </w:rPr>
        <w:t>Streptomyces</w:t>
      </w:r>
      <w:r>
        <w:t xml:space="preserve"> cell cycle, while spores are germinating into hyphae. </w:t>
        <w:br/>
        <w:br/>
        <w:t xml:space="preserve">Novel bacteriophages </w:t>
      </w:r>
      <w:r>
        <w:rPr>
          <w:i/>
        </w:rPr>
        <w:t>Superstar</w:t>
      </w:r>
      <w:r>
        <w:t xml:space="preserve"> and </w:t>
      </w:r>
      <w:r>
        <w:rPr>
          <w:i/>
        </w:rPr>
        <w:t>Rideau</w:t>
      </w:r>
      <w:r>
        <w:t xml:space="preserve"> were isolated on the host </w:t>
      </w:r>
      <w:r>
        <w:rPr>
          <w:i/>
        </w:rPr>
        <w:t>Streptomyces avermitilis</w:t>
      </w:r>
      <w:r>
        <w:t xml:space="preserve"> in Ottawa, Canada by students in the SEA-PHAGES discovery lab at the University of Ottawa. </w:t>
      </w:r>
      <w:r>
        <w:rPr>
          <w:i/>
        </w:rPr>
        <w:t>Superstar</w:t>
      </w:r>
      <w:r>
        <w:t xml:space="preserve"> has </w:t>
      </w:r>
      <w:r>
        <w:rPr>
          <w:i/>
        </w:rPr>
        <w:t>Siphoviridae</w:t>
      </w:r>
      <w:r>
        <w:t xml:space="preserve"> morphology and is characterized by its long noncontractile flexible tail and icosahedral capsid. </w:t>
      </w:r>
      <w:r>
        <w:rPr>
          <w:i/>
        </w:rPr>
        <w:t>Superstar</w:t>
      </w:r>
      <w:r>
        <w:t xml:space="preserve"> is a temperate phage, deduced from the presence of an immunity repressor and integrase genes. </w:t>
      </w:r>
      <w:r>
        <w:rPr>
          <w:i/>
        </w:rPr>
        <w:t>Rideau</w:t>
      </w:r>
      <w:r>
        <w:t xml:space="preserve"> has </w:t>
      </w:r>
      <w:r>
        <w:rPr>
          <w:i/>
        </w:rPr>
        <w:t>Podoviridae</w:t>
      </w:r>
      <w:r>
        <w:t xml:space="preserve"> morphology and is characterized by its short tail, tail fibers and icosahedral capsid. </w:t>
      </w:r>
      <w:r>
        <w:rPr>
          <w:i/>
        </w:rPr>
        <w:t>Rideau</w:t>
      </w:r>
      <w:r>
        <w:t xml:space="preserve"> is a lytic phage, as there are no lysogeny genes. </w:t>
        <w:br/>
        <w:br/>
        <w:t xml:space="preserve">These phages belong to different phylogenetic clusters, indicating significant genome-level differences. </w:t>
      </w:r>
      <w:r>
        <w:rPr>
          <w:i/>
        </w:rPr>
        <w:t>Superstar</w:t>
      </w:r>
      <w:r>
        <w:t xml:space="preserve"> is a cluster BD2 phage with a 50,411bp genome with 65.8% GC content. Annotation reveals </w:t>
      </w:r>
      <w:r>
        <w:rPr>
          <w:i/>
        </w:rPr>
        <w:t>Superstar</w:t>
      </w:r>
      <w:r>
        <w:t xml:space="preserve"> is comprised of 85 genes, 36/85 (42%) of which were determined to be of no known function (NKF). </w:t>
      </w:r>
      <w:r>
        <w:rPr>
          <w:i/>
        </w:rPr>
        <w:t>Rideau</w:t>
      </w:r>
      <w:r>
        <w:t xml:space="preserve"> is a cluster BF phage with a 46,053bp genome with 60.4% GC content. It is comprised of 68 genes, 23 of which interestingly encode tRNAs. Through functional annotation and wet-lab experimentation, we have examined interesting biology of these phages.</w:t>
        <w:br/>
        <w:br/>
        <w:t xml:space="preserve">A dot plot comparing </w:t>
      </w:r>
      <w:r>
        <w:rPr>
          <w:i/>
        </w:rPr>
        <w:t>Superstar</w:t>
      </w:r>
      <w:r>
        <w:t xml:space="preserve"> against other BD2, BD3, and BD1 cluster phages and </w:t>
      </w:r>
      <w:r>
        <w:rPr>
          <w:i/>
        </w:rPr>
        <w:t>Rideau</w:t>
      </w:r>
      <w:r>
        <w:t xml:space="preserve"> illustrate a high degree of nucleotide similarity between </w:t>
      </w:r>
      <w:r>
        <w:rPr>
          <w:i/>
        </w:rPr>
        <w:t>Superstar</w:t>
      </w:r>
      <w:r>
        <w:t xml:space="preserve"> and other BD2 phages. Notable similarities with BD1 and BD3 phages are generally localized in the middle of the genome. Contrastingly, no similarities were identified between </w:t>
      </w:r>
      <w:r>
        <w:rPr>
          <w:i/>
        </w:rPr>
        <w:t>Superstar</w:t>
      </w:r>
      <w:r>
        <w:t xml:space="preserve"> and </w:t>
      </w:r>
      <w:r>
        <w:rPr>
          <w:i/>
        </w:rPr>
        <w:t>Rideau</w:t>
      </w:r>
      <w:r>
        <w:t>, despite their overlapping host range.</w:t>
        <w:br/>
        <w:br/>
        <w:t xml:space="preserve">The GenemarkS coding potential of </w:t>
      </w:r>
      <w:r>
        <w:rPr>
          <w:i/>
        </w:rPr>
        <w:t>Superstar</w:t>
      </w:r>
      <w:r>
        <w:t xml:space="preserve"> gp70 and gp70 suggested that a programmed translational frameshift could create the fused gp70/71 protein and we identified a potential slippery sequence that could mediate this frameshift. We have created an inducible </w:t>
      </w:r>
      <w:r>
        <w:rPr>
          <w:i/>
        </w:rPr>
        <w:t>E. coli</w:t>
      </w:r>
      <w:r>
        <w:t xml:space="preserve"> expression plasmid of gp70/71 that will allow us to test if a translational frameshift between these two genes can occur in a heterologous system, as has been seen for tail assembly chaperones. </w:t>
        <w:br/>
        <w:br/>
        <w:t xml:space="preserve">Using AlphaFold2 software, we created structural predictions of several interesting genes in </w:t>
      </w:r>
      <w:r>
        <w:rPr>
          <w:i/>
        </w:rPr>
        <w:t>Superstar</w:t>
      </w:r>
      <w:r>
        <w:t xml:space="preserve"> and </w:t>
      </w:r>
      <w:r>
        <w:rPr>
          <w:i/>
        </w:rPr>
        <w:t>Rideau</w:t>
      </w:r>
      <w:r>
        <w:t xml:space="preserve"> and compared using FoldSeek against databases protein structures to elucidate their putative functions. Preliminary work suggests that </w:t>
      </w:r>
      <w:r>
        <w:rPr>
          <w:i/>
        </w:rPr>
        <w:t>Superstar</w:t>
      </w:r>
      <w:r>
        <w:t xml:space="preserve"> Gp6 may encode a HEPN-RNAse toxin gene and we hypothesis that Gp4, which shares structural similarity to Gp6,  may encode its antitoxin; this mechanism has not been documented in Actinobacteriophages and may be a novel prophage defense mechanism in this phage.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