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University of Colorado Boulder</w:t>
      </w:r>
    </w:p>
    <w:p>
      <w:pPr>
        <w:pStyle w:val="InstitutionInfo"/>
      </w:pPr>
      <w:r>
        <w:t>Boulder CO</w:t>
      </w:r>
    </w:p>
    <w:p>
      <w:pPr>
        <w:pStyle w:val="InstitutionInfo"/>
      </w:pPr>
      <w:r>
        <w:t>Corresponding Faculty Member: Christy Fillman  (christy.fillman@Colorado.EDU)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920978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BO_Peters_HeadSho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09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Derek Peters</w:t>
      </w:r>
    </w:p>
    <w:p>
      <w:r>
        <w:drawing>
          <wp:inline xmlns:a="http://schemas.openxmlformats.org/drawingml/2006/main" xmlns:pic="http://schemas.openxmlformats.org/drawingml/2006/picture">
            <wp:extent cx="914400" cy="1371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UCBO_Spitler_HeadSho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Keri Spitler</w:t>
      </w:r>
    </w:p>
    <w:p>
      <w:pPr>
        <w:pStyle w:val="AbsTitle"/>
      </w:pPr>
      <w:r>
        <w:t>Discovering Bacterial Defense Systems within Mycobacteriophage Miryou</w:t>
      </w:r>
    </w:p>
    <w:p>
      <w:pPr>
        <w:pStyle w:val="AbsAuthors"/>
      </w:pPr>
      <w:r>
        <w:t>Derek Peters</w:t>
      </w:r>
      <w:r>
        <w:rPr>
          <w:b w:val="0"/>
        </w:rPr>
        <w:t xml:space="preserve">, </w:t>
      </w:r>
      <w:r>
        <w:t>Keri Spitler</w:t>
      </w:r>
    </w:p>
    <w:p>
      <w:pPr>
        <w:pStyle w:val="AbsText"/>
      </w:pPr>
      <w:r>
        <w:t>This study explores the complex evolutionary dynamics of interspecies lateral gene transfer (LGT), focusing on cluster K5 Mycobacteriophage Miryou’s acquisition of bacterial restriction modification (R-M) systems and toxin-antitoxin (TA) systems. Using bioinformatics programs such as HHpred, BLASTP, Phamerator, and AlphaFold, our research indicates that mycobacteriophage Miryou contains genes with similarity to bacterial R-M systems and TA systems. Gene 38 bears a strong resemblance, from BLAST results, to proteins contained within R-M system operons in bacteria. Furthermore, the presence of R-M systems is supported by AlphaFold identifying two surface-accessible residues, Proline-136 and Cysteine-137 on a vicinal carbon, characteristic of a methyltransferase protein, with considerable alignment to gene 39. Moreover, genes 90 and 91, belonging to phamilies 4290 and 4157, are classified as BrnT-like toxins and BrnA-like antitoxins, respectively. Notably, a ribbon-helix-helix DNA binding domain, which is a domain commonly found in BrnA-like antitoxins, was discovered within phamily 4157, further supporting these classifications and the presence of a TA system. These findings highlight the dynamic nature of gene function annotation and comparative genomics, while enhance our understanding of phage-bacteria interactions.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