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Coastal Carolina University</w:t>
      </w:r>
    </w:p>
    <w:p>
      <w:pPr>
        <w:pStyle w:val="InstitutionInfo"/>
      </w:pPr>
      <w:r>
        <w:t>Conway SC</w:t>
      </w:r>
    </w:p>
    <w:p>
      <w:pPr>
        <w:pStyle w:val="InstitutionInfo"/>
      </w:pPr>
      <w:r>
        <w:t>Corresponding Faculty Member: Daniel Williams  (dwilliams@coastal.edu)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COCA_Gibbs_HeadShot.png"/>
                    <pic:cNvPicPr/>
                  </pic:nvPicPr>
                  <pic:blipFill>
                    <a:blip r:embed="rId9"/>
                    <a:stretch>
                      <a:fillRect/>
                    </a:stretch>
                  </pic:blipFill>
                  <pic:spPr>
                    <a:xfrm>
                      <a:off x="0" y="0"/>
                      <a:ext cx="914400" cy="914400"/>
                    </a:xfrm>
                    <a:prstGeom prst="rect"/>
                  </pic:spPr>
                </pic:pic>
              </a:graphicData>
            </a:graphic>
          </wp:inline>
        </w:drawing>
      </w:r>
    </w:p>
    <w:p>
      <w:pPr>
        <w:pStyle w:val="absCaption"/>
      </w:pPr>
      <w:r>
        <w:t>Manny Gibbs</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COCA_Johnston_HeadShot.png"/>
                    <pic:cNvPicPr/>
                  </pic:nvPicPr>
                  <pic:blipFill>
                    <a:blip r:embed="rId10"/>
                    <a:stretch>
                      <a:fillRect/>
                    </a:stretch>
                  </pic:blipFill>
                  <pic:spPr>
                    <a:xfrm>
                      <a:off x="0" y="0"/>
                      <a:ext cx="914400" cy="914400"/>
                    </a:xfrm>
                    <a:prstGeom prst="rect"/>
                  </pic:spPr>
                </pic:pic>
              </a:graphicData>
            </a:graphic>
          </wp:inline>
        </w:drawing>
      </w:r>
    </w:p>
    <w:p>
      <w:pPr>
        <w:pStyle w:val="absCaption"/>
      </w:pPr>
      <w:r>
        <w:t>Katlyn Johnston</w:t>
      </w:r>
    </w:p>
    <w:p>
      <w:r>
        <w:drawing>
          <wp:inline xmlns:a="http://schemas.openxmlformats.org/drawingml/2006/main" xmlns:pic="http://schemas.openxmlformats.org/drawingml/2006/picture">
            <wp:extent cx="914400" cy="914400"/>
            <wp:docPr id="3" name="Picture 3"/>
            <wp:cNvGraphicFramePr>
              <a:graphicFrameLocks noChangeAspect="1"/>
            </wp:cNvGraphicFramePr>
            <a:graphic>
              <a:graphicData uri="http://schemas.openxmlformats.org/drawingml/2006/picture">
                <pic:pic>
                  <pic:nvPicPr>
                    <pic:cNvPr id="0" name="COCA_Knight_HeadShot.png"/>
                    <pic:cNvPicPr/>
                  </pic:nvPicPr>
                  <pic:blipFill>
                    <a:blip r:embed="rId11"/>
                    <a:stretch>
                      <a:fillRect/>
                    </a:stretch>
                  </pic:blipFill>
                  <pic:spPr>
                    <a:xfrm>
                      <a:off x="0" y="0"/>
                      <a:ext cx="914400" cy="914400"/>
                    </a:xfrm>
                    <a:prstGeom prst="rect"/>
                  </pic:spPr>
                </pic:pic>
              </a:graphicData>
            </a:graphic>
          </wp:inline>
        </w:drawing>
      </w:r>
    </w:p>
    <w:p>
      <w:pPr>
        <w:pStyle w:val="absCaption"/>
      </w:pPr>
      <w:r>
        <w:t>Michael Knight</w:t>
      </w:r>
    </w:p>
    <w:p>
      <w:r>
        <w:drawing>
          <wp:inline xmlns:a="http://schemas.openxmlformats.org/drawingml/2006/main" xmlns:pic="http://schemas.openxmlformats.org/drawingml/2006/picture">
            <wp:extent cx="914400" cy="914400"/>
            <wp:docPr id="4" name="Picture 4"/>
            <wp:cNvGraphicFramePr>
              <a:graphicFrameLocks noChangeAspect="1"/>
            </wp:cNvGraphicFramePr>
            <a:graphic>
              <a:graphicData uri="http://schemas.openxmlformats.org/drawingml/2006/picture">
                <pic:pic>
                  <pic:nvPicPr>
                    <pic:cNvPr id="0" name="COCA_LaFrancis_HeadShot.png"/>
                    <pic:cNvPicPr/>
                  </pic:nvPicPr>
                  <pic:blipFill>
                    <a:blip r:embed="rId12"/>
                    <a:stretch>
                      <a:fillRect/>
                    </a:stretch>
                  </pic:blipFill>
                  <pic:spPr>
                    <a:xfrm>
                      <a:off x="0" y="0"/>
                      <a:ext cx="914400" cy="914400"/>
                    </a:xfrm>
                    <a:prstGeom prst="rect"/>
                  </pic:spPr>
                </pic:pic>
              </a:graphicData>
            </a:graphic>
          </wp:inline>
        </w:drawing>
      </w:r>
    </w:p>
    <w:p>
      <w:pPr>
        <w:pStyle w:val="absCaption"/>
      </w:pPr>
      <w:r>
        <w:t>Brannon LaFrancis</w:t>
      </w:r>
    </w:p>
    <w:p>
      <w:r>
        <w:drawing>
          <wp:inline xmlns:a="http://schemas.openxmlformats.org/drawingml/2006/main" xmlns:pic="http://schemas.openxmlformats.org/drawingml/2006/picture">
            <wp:extent cx="914400" cy="914400"/>
            <wp:docPr id="5" name="Picture 5"/>
            <wp:cNvGraphicFramePr>
              <a:graphicFrameLocks noChangeAspect="1"/>
            </wp:cNvGraphicFramePr>
            <a:graphic>
              <a:graphicData uri="http://schemas.openxmlformats.org/drawingml/2006/picture">
                <pic:pic>
                  <pic:nvPicPr>
                    <pic:cNvPr id="0" name="COCA_Manley_HeadShot_MxLO1l2.png"/>
                    <pic:cNvPicPr/>
                  </pic:nvPicPr>
                  <pic:blipFill>
                    <a:blip r:embed="rId13"/>
                    <a:stretch>
                      <a:fillRect/>
                    </a:stretch>
                  </pic:blipFill>
                  <pic:spPr>
                    <a:xfrm>
                      <a:off x="0" y="0"/>
                      <a:ext cx="914400" cy="914400"/>
                    </a:xfrm>
                    <a:prstGeom prst="rect"/>
                  </pic:spPr>
                </pic:pic>
              </a:graphicData>
            </a:graphic>
          </wp:inline>
        </w:drawing>
      </w:r>
    </w:p>
    <w:p>
      <w:pPr>
        <w:pStyle w:val="absCaption"/>
      </w:pPr>
      <w:r>
        <w:t>Monica Manley</w:t>
      </w:r>
    </w:p>
    <w:p>
      <w:r>
        <w:drawing>
          <wp:inline xmlns:a="http://schemas.openxmlformats.org/drawingml/2006/main" xmlns:pic="http://schemas.openxmlformats.org/drawingml/2006/picture">
            <wp:extent cx="914400" cy="914400"/>
            <wp:docPr id="6" name="Picture 6"/>
            <wp:cNvGraphicFramePr>
              <a:graphicFrameLocks noChangeAspect="1"/>
            </wp:cNvGraphicFramePr>
            <a:graphic>
              <a:graphicData uri="http://schemas.openxmlformats.org/drawingml/2006/picture">
                <pic:pic>
                  <pic:nvPicPr>
                    <pic:cNvPr id="0" name="COCA_Murray_HeadShot.png"/>
                    <pic:cNvPicPr/>
                  </pic:nvPicPr>
                  <pic:blipFill>
                    <a:blip r:embed="rId14"/>
                    <a:stretch>
                      <a:fillRect/>
                    </a:stretch>
                  </pic:blipFill>
                  <pic:spPr>
                    <a:xfrm>
                      <a:off x="0" y="0"/>
                      <a:ext cx="914400" cy="914400"/>
                    </a:xfrm>
                    <a:prstGeom prst="rect"/>
                  </pic:spPr>
                </pic:pic>
              </a:graphicData>
            </a:graphic>
          </wp:inline>
        </w:drawing>
      </w:r>
    </w:p>
    <w:p>
      <w:pPr>
        <w:pStyle w:val="absCaption"/>
      </w:pPr>
      <w:r>
        <w:t>Madison Murray</w:t>
      </w:r>
    </w:p>
    <w:p>
      <w:r>
        <w:drawing>
          <wp:inline xmlns:a="http://schemas.openxmlformats.org/drawingml/2006/main" xmlns:pic="http://schemas.openxmlformats.org/drawingml/2006/picture">
            <wp:extent cx="914400" cy="914400"/>
            <wp:docPr id="7" name="Picture 7"/>
            <wp:cNvGraphicFramePr>
              <a:graphicFrameLocks noChangeAspect="1"/>
            </wp:cNvGraphicFramePr>
            <a:graphic>
              <a:graphicData uri="http://schemas.openxmlformats.org/drawingml/2006/picture">
                <pic:pic>
                  <pic:nvPicPr>
                    <pic:cNvPr id="0" name="COCA_Schad_HeadShot.png"/>
                    <pic:cNvPicPr/>
                  </pic:nvPicPr>
                  <pic:blipFill>
                    <a:blip r:embed="rId15"/>
                    <a:stretch>
                      <a:fillRect/>
                    </a:stretch>
                  </pic:blipFill>
                  <pic:spPr>
                    <a:xfrm>
                      <a:off x="0" y="0"/>
                      <a:ext cx="914400" cy="914400"/>
                    </a:xfrm>
                    <a:prstGeom prst="rect"/>
                  </pic:spPr>
                </pic:pic>
              </a:graphicData>
            </a:graphic>
          </wp:inline>
        </w:drawing>
      </w:r>
    </w:p>
    <w:p>
      <w:pPr>
        <w:pStyle w:val="absCaption"/>
      </w:pPr>
      <w:r>
        <w:t>Ella Schad</w:t>
      </w:r>
    </w:p>
    <w:p>
      <w:r>
        <w:drawing>
          <wp:inline xmlns:a="http://schemas.openxmlformats.org/drawingml/2006/main" xmlns:pic="http://schemas.openxmlformats.org/drawingml/2006/picture">
            <wp:extent cx="914400" cy="914400"/>
            <wp:docPr id="8" name="Picture 8"/>
            <wp:cNvGraphicFramePr>
              <a:graphicFrameLocks noChangeAspect="1"/>
            </wp:cNvGraphicFramePr>
            <a:graphic>
              <a:graphicData uri="http://schemas.openxmlformats.org/drawingml/2006/picture">
                <pic:pic>
                  <pic:nvPicPr>
                    <pic:cNvPr id="0" name="COCA_Sowers_HeadShot.png"/>
                    <pic:cNvPicPr/>
                  </pic:nvPicPr>
                  <pic:blipFill>
                    <a:blip r:embed="rId16"/>
                    <a:stretch>
                      <a:fillRect/>
                    </a:stretch>
                  </pic:blipFill>
                  <pic:spPr>
                    <a:xfrm>
                      <a:off x="0" y="0"/>
                      <a:ext cx="914400" cy="914400"/>
                    </a:xfrm>
                    <a:prstGeom prst="rect"/>
                  </pic:spPr>
                </pic:pic>
              </a:graphicData>
            </a:graphic>
          </wp:inline>
        </w:drawing>
      </w:r>
    </w:p>
    <w:p>
      <w:pPr>
        <w:pStyle w:val="absCaption"/>
      </w:pPr>
      <w:r>
        <w:t>Gabrielle Sowers</w:t>
      </w:r>
    </w:p>
    <w:p>
      <w:pPr>
        <w:pStyle w:val="AbsTitle"/>
      </w:pPr>
      <w:r>
        <w:t>Genome annotation of the temperate A9 phage EmyBug</w:t>
      </w:r>
    </w:p>
    <w:p>
      <w:pPr>
        <w:pStyle w:val="AbsAuthors"/>
      </w:pPr>
      <w:r>
        <w:t>Manny Gibbs</w:t>
      </w:r>
      <w:r>
        <w:rPr>
          <w:b w:val="0"/>
        </w:rPr>
        <w:t xml:space="preserve">, </w:t>
      </w:r>
      <w:r>
        <w:t>Katlyn Johnston</w:t>
      </w:r>
      <w:r>
        <w:rPr>
          <w:b w:val="0"/>
        </w:rPr>
        <w:t xml:space="preserve">, </w:t>
      </w:r>
      <w:r>
        <w:t>Michael Knight</w:t>
      </w:r>
      <w:r>
        <w:rPr>
          <w:b w:val="0"/>
        </w:rPr>
        <w:t xml:space="preserve">, </w:t>
      </w:r>
      <w:r>
        <w:t>Brannon LaFrancis</w:t>
      </w:r>
      <w:r>
        <w:rPr>
          <w:b w:val="0"/>
        </w:rPr>
        <w:t xml:space="preserve">, </w:t>
      </w:r>
      <w:r>
        <w:t>Monica Manley</w:t>
      </w:r>
      <w:r>
        <w:rPr>
          <w:b w:val="0"/>
        </w:rPr>
        <w:t xml:space="preserve">, </w:t>
      </w:r>
      <w:r>
        <w:t>Madison Murray</w:t>
      </w:r>
      <w:r>
        <w:rPr>
          <w:b w:val="0"/>
        </w:rPr>
        <w:t xml:space="preserve">, </w:t>
      </w:r>
      <w:r>
        <w:t>Ella Schad</w:t>
      </w:r>
      <w:r>
        <w:rPr>
          <w:b w:val="0"/>
        </w:rPr>
        <w:t xml:space="preserve">, </w:t>
      </w:r>
      <w:r>
        <w:t>Gabrielle Sowers</w:t>
      </w:r>
      <w:r>
        <w:rPr>
          <w:b w:val="0"/>
        </w:rPr>
        <w:t xml:space="preserve">, </w:t>
      </w:r>
      <w:r>
        <w:t>Madison Williams</w:t>
      </w:r>
      <w:r>
        <w:rPr>
          <w:b w:val="0"/>
        </w:rPr>
        <w:t xml:space="preserve">, </w:t>
      </w:r>
      <w:r>
        <w:rPr>
          <w:b w:val="0"/>
        </w:rPr>
        <w:t>Daniel C Williams</w:t>
      </w:r>
    </w:p>
    <w:p>
      <w:pPr>
        <w:pStyle w:val="AbsText"/>
      </w:pPr>
      <w:r>
        <w:t xml:space="preserve">EmyBug is a temperate mycobacteriophage found in Myrtle Beach, South Carolina during the fall of 2023. It was isolated using an enriched method on </w:t>
      </w:r>
      <w:r>
        <w:rPr>
          <w:i/>
        </w:rPr>
        <w:t>Mycobacterium smegmatis</w:t>
      </w:r>
      <w:r>
        <w:t xml:space="preserve"> and subsequently purified and amplified to high titer lysate. During its isolation we noticed the formation of mesas, which is indicative of a lysogenic lifecycle. We verified EmyBug as a temperate phage by obtaining stable lysogens, which showed homotypic immunity. Emybug was sequenced and the genome is 52,948 base pairs long and was assigned to subcluster A9. Other phages within this cluster are temperate and infect </w:t>
      </w:r>
      <w:r>
        <w:rPr>
          <w:i/>
        </w:rPr>
        <w:t>Mycobacterium smegmatis</w:t>
      </w:r>
      <w:r>
        <w:t>. Draft annotation using Glimmer, GeneMark, and Aragon resulted in 91 predicted protein coding genes and one tRNA. Many of these genes were similar to other members of subcluster A9, such as Fayely and PackMan. Manual inspection of the genome identified regions without gene calls that required further investigation. Analysis of coding potential and identification of homologous genes  was used as the foundation for additional EmyBug gene assignment. Phamerator allowed comparison of EmyBug with other A9 genomes and allowed for initial functional assignment of many genes. HHPRED provided further verification of these functional calls. Our analysis failed to identify an integrase gene, but EmyBug does encode both Par A and Par B DNA partitioning proteins, which are likely involved in maintenance of lysogeny.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