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University of Maine, Honors College</w:t>
      </w:r>
    </w:p>
    <w:p>
      <w:pPr>
        <w:pStyle w:val="InstitutionInfo"/>
      </w:pPr>
      <w:r>
        <w:t>Orono ME</w:t>
      </w:r>
    </w:p>
    <w:p>
      <w:pPr>
        <w:pStyle w:val="InstitutionInfo"/>
      </w:pPr>
      <w:r>
        <w:t>Corresponding Faculty Member: Sally Molloy  (sally.dixon@maine.edu)</w:t>
      </w:r>
      <w:r>
        <w:br/>
      </w:r>
    </w:p>
    <w:p>
      <w:pPr>
        <w:pStyle w:val="AbsTitle"/>
      </w:pPr>
      <w:r>
        <w:t>The ParABs and Cs of novel A15 Gordonia phage Nebulosus</w:t>
      </w:r>
    </w:p>
    <w:p>
      <w:pPr>
        <w:pStyle w:val="AbsAuthors"/>
      </w:pPr>
      <w:r>
        <w:t>Veronica Doyle</w:t>
      </w:r>
      <w:r>
        <w:rPr>
          <w:b w:val="0"/>
        </w:rPr>
        <w:t xml:space="preserve">, </w:t>
      </w:r>
      <w:r>
        <w:t>Riimi Bahr</w:t>
      </w:r>
      <w:r>
        <w:rPr>
          <w:b w:val="0"/>
        </w:rPr>
        <w:t xml:space="preserve">, </w:t>
      </w:r>
      <w:r>
        <w:t>Strix Kugler</w:t>
      </w:r>
      <w:r>
        <w:rPr>
          <w:b w:val="0"/>
        </w:rPr>
        <w:t xml:space="preserve">, </w:t>
      </w:r>
      <w:r>
        <w:t>Andrew Melanoson</w:t>
      </w:r>
      <w:r>
        <w:rPr>
          <w:b w:val="0"/>
        </w:rPr>
        <w:t xml:space="preserve">, </w:t>
      </w:r>
      <w:r>
        <w:t>Ryleigh Raber</w:t>
      </w:r>
      <w:r>
        <w:rPr>
          <w:b w:val="0"/>
        </w:rPr>
        <w:t xml:space="preserve">, </w:t>
      </w:r>
      <w:r>
        <w:t>Justin Solomon</w:t>
      </w:r>
      <w:r>
        <w:rPr>
          <w:b w:val="0"/>
        </w:rPr>
        <w:t xml:space="preserve">, </w:t>
      </w:r>
      <w:r>
        <w:t>Apple Webster</w:t>
      </w:r>
      <w:r>
        <w:rPr>
          <w:b w:val="0"/>
        </w:rPr>
        <w:t xml:space="preserve">, </w:t>
      </w:r>
      <w:r>
        <w:rPr>
          <w:b w:val="0"/>
        </w:rPr>
        <w:t>Sally Molloy</w:t>
      </w:r>
    </w:p>
    <w:p>
      <w:pPr>
        <w:pStyle w:val="AbsText"/>
      </w:pPr>
      <w:r>
        <w:t>Bacteriophages are the viral predator of bacteria and have industrial applications as environmental bactericidal agents, but perhaps hold the most promise as an alternative to antibiotics in treating drug-resistant bacterial infections. Actinobacteria are a diverse group of Gram positive bacteria that include important pathogenic mycobacteria and non-pathogenic genera, such as Gordonia. Novel bacteriophage, Nebulosus, was directly isolated from a sample of compost in Orono, ME on the host G. terrae. Nebulosus is a siphovirus and belongs to subcluster A15, the only group of Gordonia phages that are members of a larger cluster composed of mycobacteriophages. Nebulosus is temperate and forms stable lysogens that are resistant to superinfection by cluster A15 phages. Its genome is 52,175 bp long, has 62% GC content and encodes 97 putative protein-coding genes and 3 tRNAs. The genome is organized like other cluster A phages with forward-transcribed structural genes on the left arm and reverse-transcribed early lytic genes on the right arm. Gp82 encodes the immunity repressor and like other cluster A15 phages, it encodes a ParABs system (gp33, gp34) rather than an integrase in order to maintain lysogeny. Comparative genomics among the A15 phages and cluster A phages will be conducted to better understand the relationship between Nebulosus and the cluster A Gordonia and Mycobacterium phages.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